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76D87" w14:textId="0E5C8623" w:rsidR="00F57961" w:rsidRPr="00F57961" w:rsidRDefault="00F57961" w:rsidP="00F57961">
      <w:pPr>
        <w:jc w:val="both"/>
        <w:rPr>
          <w:sz w:val="32"/>
          <w:szCs w:val="32"/>
        </w:rPr>
      </w:pPr>
      <w:r w:rsidRPr="00F57961">
        <w:rPr>
          <w:b/>
          <w:bCs/>
          <w:color w:val="FF0000"/>
          <w:sz w:val="32"/>
          <w:szCs w:val="32"/>
        </w:rPr>
        <w:t xml:space="preserve">    IgA nephropathy</w:t>
      </w:r>
      <w:r w:rsidRPr="00F57961">
        <w:rPr>
          <w:color w:val="FF0000"/>
          <w:sz w:val="32"/>
          <w:szCs w:val="32"/>
        </w:rPr>
        <w:t xml:space="preserve"> </w:t>
      </w:r>
      <w:r w:rsidRPr="00F57961">
        <w:rPr>
          <w:sz w:val="32"/>
          <w:szCs w:val="32"/>
        </w:rPr>
        <w:t>(</w:t>
      </w:r>
      <w:proofErr w:type="spellStart"/>
      <w:r w:rsidRPr="00F57961">
        <w:rPr>
          <w:sz w:val="32"/>
          <w:szCs w:val="32"/>
        </w:rPr>
        <w:t>IgAN</w:t>
      </w:r>
      <w:proofErr w:type="spellEnd"/>
      <w:r w:rsidRPr="00F57961">
        <w:rPr>
          <w:sz w:val="32"/>
          <w:szCs w:val="32"/>
        </w:rPr>
        <w:t xml:space="preserve">), also known as Berger's disease or </w:t>
      </w:r>
      <w:proofErr w:type="spellStart"/>
      <w:r w:rsidRPr="00F57961">
        <w:rPr>
          <w:sz w:val="32"/>
          <w:szCs w:val="32"/>
        </w:rPr>
        <w:t>synpharyngitic</w:t>
      </w:r>
      <w:proofErr w:type="spellEnd"/>
      <w:r w:rsidRPr="00F57961">
        <w:rPr>
          <w:sz w:val="32"/>
          <w:szCs w:val="32"/>
        </w:rPr>
        <w:t xml:space="preserve"> glomerulonephritis, is a disease of the kidney (or nephropathy) and the immune system; specifically, it is a form of glomerulonephritis or an inflammation of the glomeruli of the kidney. Aggressive Berger's </w:t>
      </w:r>
      <w:r w:rsidRPr="00F57961">
        <w:rPr>
          <w:rFonts w:asciiTheme="majorBidi" w:hAnsiTheme="majorBidi" w:cstheme="majorBidi"/>
          <w:sz w:val="32"/>
          <w:szCs w:val="32"/>
        </w:rPr>
        <w:t>disease</w:t>
      </w:r>
      <w:r w:rsidRPr="00F57961">
        <w:rPr>
          <w:sz w:val="32"/>
          <w:szCs w:val="32"/>
        </w:rPr>
        <w:t xml:space="preserve"> (a rarer form of the disease) can attack other major organs, such as the liver, </w:t>
      </w:r>
      <w:proofErr w:type="gramStart"/>
      <w:r w:rsidRPr="00F57961">
        <w:rPr>
          <w:sz w:val="32"/>
          <w:szCs w:val="32"/>
        </w:rPr>
        <w:t>skin</w:t>
      </w:r>
      <w:proofErr w:type="gramEnd"/>
      <w:r w:rsidRPr="00F57961">
        <w:rPr>
          <w:sz w:val="32"/>
          <w:szCs w:val="32"/>
        </w:rPr>
        <w:t xml:space="preserve"> and heart.</w:t>
      </w:r>
    </w:p>
    <w:p w14:paraId="59D1CC7D" w14:textId="77777777" w:rsidR="00F57961" w:rsidRPr="00F57961" w:rsidRDefault="00F57961" w:rsidP="00F57961">
      <w:pPr>
        <w:rPr>
          <w:sz w:val="32"/>
          <w:szCs w:val="32"/>
        </w:rPr>
      </w:pPr>
    </w:p>
    <w:p w14:paraId="72C3EC30" w14:textId="0E92A584" w:rsidR="00F57961" w:rsidRDefault="00F57961" w:rsidP="00F57961">
      <w:pPr>
        <w:jc w:val="both"/>
        <w:rPr>
          <w:sz w:val="32"/>
          <w:szCs w:val="32"/>
        </w:rPr>
      </w:pPr>
      <w:r w:rsidRPr="00F57961">
        <w:rPr>
          <w:sz w:val="32"/>
          <w:szCs w:val="32"/>
        </w:rPr>
        <w:t>IgA nephropathy is the most common glomerulonephritis worldwide; however, aggressive Berger's disease is on the NORD list of rare diseases.[1] Primary IgA nephropathy is characterized by deposition of the IgA antibody in the glomerulus. There are other diseases associated with glomerular IgA deposits, the most common being IgA vasculitis (formerly known as Henoch–</w:t>
      </w:r>
      <w:proofErr w:type="spellStart"/>
      <w:r w:rsidRPr="00F57961">
        <w:rPr>
          <w:sz w:val="32"/>
          <w:szCs w:val="32"/>
        </w:rPr>
        <w:t>Schönlein</w:t>
      </w:r>
      <w:proofErr w:type="spellEnd"/>
      <w:r w:rsidRPr="00F57961">
        <w:rPr>
          <w:sz w:val="32"/>
          <w:szCs w:val="32"/>
        </w:rPr>
        <w:t xml:space="preserve"> purpura [HSP]), which is considered by many to be a systemic form of IgA nephropathy.[2] IgA vasculitis presents with a characteristic purpuric skin rash, arthritis, and abdominal pain, and occurs more commonly in young adults (16–35 years old). HSP is associated with a more benign prognosis than IgA nephropathy. In non-aggressive IgA </w:t>
      </w:r>
      <w:proofErr w:type="gramStart"/>
      <w:r w:rsidRPr="00F57961">
        <w:rPr>
          <w:sz w:val="32"/>
          <w:szCs w:val="32"/>
        </w:rPr>
        <w:t>nephropathy</w:t>
      </w:r>
      <w:proofErr w:type="gramEnd"/>
      <w:r w:rsidRPr="00F57961">
        <w:rPr>
          <w:sz w:val="32"/>
          <w:szCs w:val="32"/>
        </w:rPr>
        <w:t xml:space="preserve"> there is traditionally a slow progression to chronic kidney failure in 25–30% of cases during a period of 20 years.</w:t>
      </w:r>
    </w:p>
    <w:p w14:paraId="2AE4604B" w14:textId="164EDE96" w:rsidR="00F57961" w:rsidRDefault="00F57961" w:rsidP="00F57961">
      <w:pPr>
        <w:jc w:val="both"/>
        <w:rPr>
          <w:sz w:val="32"/>
          <w:szCs w:val="32"/>
        </w:rPr>
      </w:pPr>
    </w:p>
    <w:p w14:paraId="190770EB" w14:textId="77777777" w:rsidR="00F57961" w:rsidRPr="00F57961" w:rsidRDefault="00F57961" w:rsidP="00F57961">
      <w:pPr>
        <w:rPr>
          <w:b/>
          <w:bCs/>
          <w:color w:val="FF0000"/>
          <w:sz w:val="32"/>
          <w:szCs w:val="32"/>
        </w:rPr>
      </w:pPr>
      <w:r w:rsidRPr="00F57961">
        <w:rPr>
          <w:b/>
          <w:bCs/>
          <w:color w:val="FF0000"/>
          <w:sz w:val="32"/>
          <w:szCs w:val="32"/>
        </w:rPr>
        <w:t>Signs and symptoms</w:t>
      </w:r>
    </w:p>
    <w:p w14:paraId="4D839899" w14:textId="77777777" w:rsidR="00F57961" w:rsidRPr="00F57961" w:rsidRDefault="00F57961" w:rsidP="00F57961">
      <w:pPr>
        <w:rPr>
          <w:sz w:val="32"/>
          <w:szCs w:val="32"/>
        </w:rPr>
      </w:pPr>
      <w:r w:rsidRPr="00F57961">
        <w:rPr>
          <w:sz w:val="32"/>
          <w:szCs w:val="32"/>
        </w:rPr>
        <w:t xml:space="preserve">The classic presentation for the non-aggressive form (in 40–50% of the cases) is episodic hematuria, which usually starts within a day or two of a non-specific upper respiratory tract infection (hence </w:t>
      </w:r>
      <w:proofErr w:type="spellStart"/>
      <w:r w:rsidRPr="00F57961">
        <w:rPr>
          <w:sz w:val="32"/>
          <w:szCs w:val="32"/>
        </w:rPr>
        <w:t>synpharyngitic</w:t>
      </w:r>
      <w:proofErr w:type="spellEnd"/>
      <w:r w:rsidRPr="00F57961">
        <w:rPr>
          <w:sz w:val="32"/>
          <w:szCs w:val="32"/>
        </w:rPr>
        <w:t xml:space="preserve">), as opposed to post-streptococcal glomerulonephritis, which occurs some time (weeks) after initial infection. With both aggressive and non-aggressive Berger's disease loin pain can also occur. The gross </w:t>
      </w:r>
      <w:r w:rsidRPr="00F57961">
        <w:rPr>
          <w:sz w:val="32"/>
          <w:szCs w:val="32"/>
        </w:rPr>
        <w:lastRenderedPageBreak/>
        <w:t>hematuria may resolve after a few days, though microscopic hematuria will persist, it is however more common with aggressive Berger's disease for gross hematuria to persist rather than microscopic hematuria. Renal function usually remains normal with non-aggressive Berger's disease, though rarely acute kidney failure may occur (see below). This presentation is more common in younger adults.</w:t>
      </w:r>
    </w:p>
    <w:p w14:paraId="4C820C62" w14:textId="77777777" w:rsidR="00F57961" w:rsidRPr="00F57961" w:rsidRDefault="00F57961" w:rsidP="00F57961">
      <w:pPr>
        <w:rPr>
          <w:sz w:val="32"/>
          <w:szCs w:val="32"/>
        </w:rPr>
      </w:pPr>
    </w:p>
    <w:p w14:paraId="14A263C2" w14:textId="0B79AD33" w:rsidR="00F57961" w:rsidRPr="00F57961" w:rsidRDefault="00F57961" w:rsidP="00F57961">
      <w:pPr>
        <w:rPr>
          <w:sz w:val="32"/>
          <w:szCs w:val="32"/>
        </w:rPr>
      </w:pPr>
      <w:r w:rsidRPr="00F57961">
        <w:rPr>
          <w:sz w:val="32"/>
          <w:szCs w:val="32"/>
        </w:rPr>
        <w:t>The following is a basic list of symptoms taken primarily from Mayo clinic</w:t>
      </w:r>
    </w:p>
    <w:p w14:paraId="34D9CBCA" w14:textId="55F63F63" w:rsidR="00F57961" w:rsidRPr="00F57961" w:rsidRDefault="001C26E6" w:rsidP="00F57961">
      <w:pPr>
        <w:rPr>
          <w:sz w:val="32"/>
          <w:szCs w:val="32"/>
        </w:rPr>
      </w:pPr>
      <w:r>
        <w:rPr>
          <w:sz w:val="32"/>
          <w:szCs w:val="32"/>
        </w:rPr>
        <w:t>-</w:t>
      </w:r>
      <w:r w:rsidR="00F57961" w:rsidRPr="00F57961">
        <w:rPr>
          <w:sz w:val="32"/>
          <w:szCs w:val="32"/>
        </w:rPr>
        <w:t>Severe flank/abdominal pain</w:t>
      </w:r>
    </w:p>
    <w:p w14:paraId="226BD4B5" w14:textId="62EAAC34" w:rsidR="00F57961" w:rsidRPr="00F57961" w:rsidRDefault="001C26E6" w:rsidP="00F57961">
      <w:pPr>
        <w:rPr>
          <w:sz w:val="32"/>
          <w:szCs w:val="32"/>
        </w:rPr>
      </w:pPr>
      <w:r>
        <w:rPr>
          <w:sz w:val="32"/>
          <w:szCs w:val="32"/>
        </w:rPr>
        <w:t>-</w:t>
      </w:r>
      <w:r w:rsidR="00F57961" w:rsidRPr="00F57961">
        <w:rPr>
          <w:sz w:val="32"/>
          <w:szCs w:val="32"/>
        </w:rPr>
        <w:t>High blood pressure</w:t>
      </w:r>
    </w:p>
    <w:p w14:paraId="1DCBF2CE" w14:textId="5FDD2EAA" w:rsidR="00F57961" w:rsidRPr="00F57961" w:rsidRDefault="001C26E6" w:rsidP="00F57961">
      <w:pPr>
        <w:rPr>
          <w:sz w:val="32"/>
          <w:szCs w:val="32"/>
        </w:rPr>
      </w:pPr>
      <w:r>
        <w:rPr>
          <w:sz w:val="32"/>
          <w:szCs w:val="32"/>
        </w:rPr>
        <w:t>-</w:t>
      </w:r>
      <w:r w:rsidR="00F57961" w:rsidRPr="00F57961">
        <w:rPr>
          <w:sz w:val="32"/>
          <w:szCs w:val="32"/>
        </w:rPr>
        <w:t>Hematuria (gross, frank, microscopic)</w:t>
      </w:r>
    </w:p>
    <w:p w14:paraId="342E9484" w14:textId="43541F8D" w:rsidR="00F57961" w:rsidRPr="00F57961" w:rsidRDefault="001C26E6" w:rsidP="00F57961">
      <w:pPr>
        <w:rPr>
          <w:sz w:val="32"/>
          <w:szCs w:val="32"/>
        </w:rPr>
      </w:pPr>
      <w:r>
        <w:rPr>
          <w:sz w:val="32"/>
          <w:szCs w:val="32"/>
        </w:rPr>
        <w:t>-</w:t>
      </w:r>
      <w:r w:rsidR="00F57961" w:rsidRPr="00F57961">
        <w:rPr>
          <w:sz w:val="32"/>
          <w:szCs w:val="32"/>
        </w:rPr>
        <w:t>Compromised immune system</w:t>
      </w:r>
    </w:p>
    <w:p w14:paraId="7A0450F5" w14:textId="0D4B3E5D" w:rsidR="00F57961" w:rsidRPr="00F57961" w:rsidRDefault="001C26E6" w:rsidP="00F57961">
      <w:pPr>
        <w:rPr>
          <w:sz w:val="32"/>
          <w:szCs w:val="32"/>
        </w:rPr>
      </w:pPr>
      <w:r>
        <w:rPr>
          <w:sz w:val="32"/>
          <w:szCs w:val="32"/>
        </w:rPr>
        <w:t>-</w:t>
      </w:r>
      <w:r w:rsidR="00F57961" w:rsidRPr="00F57961">
        <w:rPr>
          <w:sz w:val="32"/>
          <w:szCs w:val="32"/>
        </w:rPr>
        <w:t>Edema in hands and feet</w:t>
      </w:r>
    </w:p>
    <w:p w14:paraId="6ABDE2F4" w14:textId="29C3BF00" w:rsidR="00F57961" w:rsidRDefault="001C26E6" w:rsidP="00F57961">
      <w:pPr>
        <w:jc w:val="both"/>
        <w:rPr>
          <w:sz w:val="32"/>
          <w:szCs w:val="32"/>
        </w:rPr>
      </w:pPr>
      <w:r>
        <w:rPr>
          <w:sz w:val="32"/>
          <w:szCs w:val="32"/>
        </w:rPr>
        <w:t>-</w:t>
      </w:r>
      <w:r w:rsidR="00F57961" w:rsidRPr="00F57961">
        <w:rPr>
          <w:sz w:val="32"/>
          <w:szCs w:val="32"/>
        </w:rPr>
        <w:t>Cola- or tea-colored urine</w:t>
      </w:r>
    </w:p>
    <w:p w14:paraId="6ED761A0" w14:textId="77777777" w:rsidR="001C26E6" w:rsidRDefault="001C26E6" w:rsidP="00F57961">
      <w:pPr>
        <w:jc w:val="both"/>
        <w:rPr>
          <w:b/>
          <w:bCs/>
          <w:color w:val="FF0000"/>
          <w:sz w:val="32"/>
          <w:szCs w:val="32"/>
        </w:rPr>
      </w:pPr>
    </w:p>
    <w:p w14:paraId="558332B9" w14:textId="57C93142" w:rsidR="001C26E6" w:rsidRPr="00F332FC" w:rsidRDefault="001C26E6" w:rsidP="00F57961">
      <w:pPr>
        <w:jc w:val="both"/>
        <w:rPr>
          <w:b/>
          <w:bCs/>
          <w:color w:val="FF0000"/>
          <w:sz w:val="40"/>
          <w:szCs w:val="40"/>
        </w:rPr>
      </w:pPr>
      <w:r w:rsidRPr="00F332FC">
        <w:rPr>
          <w:b/>
          <w:bCs/>
          <w:color w:val="FF0000"/>
          <w:sz w:val="40"/>
          <w:szCs w:val="40"/>
        </w:rPr>
        <w:t>Pathophysiology</w:t>
      </w:r>
    </w:p>
    <w:p w14:paraId="74BC13CA" w14:textId="1D6273F5" w:rsidR="001C26E6" w:rsidRPr="00F332FC" w:rsidRDefault="001C26E6" w:rsidP="00F332FC">
      <w:pPr>
        <w:jc w:val="both"/>
        <w:rPr>
          <w:sz w:val="32"/>
          <w:szCs w:val="32"/>
        </w:rPr>
      </w:pPr>
      <w:r w:rsidRPr="00F332FC">
        <w:rPr>
          <w:sz w:val="32"/>
          <w:szCs w:val="32"/>
        </w:rPr>
        <w:t xml:space="preserve">The disease derives its name from deposits of immunoglobulin A (IgA) in a granular pattern in the </w:t>
      </w:r>
      <w:proofErr w:type="spellStart"/>
      <w:r w:rsidRPr="00F332FC">
        <w:rPr>
          <w:sz w:val="32"/>
          <w:szCs w:val="32"/>
        </w:rPr>
        <w:t>mesangium</w:t>
      </w:r>
      <w:proofErr w:type="spellEnd"/>
      <w:r w:rsidRPr="00F332FC">
        <w:rPr>
          <w:sz w:val="32"/>
          <w:szCs w:val="32"/>
        </w:rPr>
        <w:t xml:space="preserve"> (by immunofluorescence), a region of the renal glomerulus. The </w:t>
      </w:r>
      <w:proofErr w:type="spellStart"/>
      <w:r w:rsidRPr="00F332FC">
        <w:rPr>
          <w:sz w:val="32"/>
          <w:szCs w:val="32"/>
        </w:rPr>
        <w:t>mesangium</w:t>
      </w:r>
      <w:proofErr w:type="spellEnd"/>
      <w:r w:rsidRPr="00F332FC">
        <w:rPr>
          <w:sz w:val="32"/>
          <w:szCs w:val="32"/>
        </w:rPr>
        <w:t xml:space="preserve"> by light microscopy may be hypercellular and show increased deposition of extracellular matrix proteins. In terms of the renal manifestation of Henoch–</w:t>
      </w:r>
      <w:proofErr w:type="spellStart"/>
      <w:r w:rsidRPr="00F332FC">
        <w:rPr>
          <w:sz w:val="32"/>
          <w:szCs w:val="32"/>
        </w:rPr>
        <w:t>Schönlein</w:t>
      </w:r>
      <w:proofErr w:type="spellEnd"/>
      <w:r w:rsidRPr="00F332FC">
        <w:rPr>
          <w:sz w:val="32"/>
          <w:szCs w:val="32"/>
        </w:rPr>
        <w:t xml:space="preserve"> purpura, it has been found that although it shares the same histological spectrum as IgA nephropathy, a greater frequency of severe lesions such as glomerular necrosis and crescents were observed. Correspondingly, HSP nephritis has a higher frequency of glomerular staining for fibrin </w:t>
      </w:r>
      <w:r w:rsidRPr="00F332FC">
        <w:rPr>
          <w:sz w:val="32"/>
          <w:szCs w:val="32"/>
        </w:rPr>
        <w:lastRenderedPageBreak/>
        <w:t xml:space="preserve">compared with </w:t>
      </w:r>
      <w:proofErr w:type="spellStart"/>
      <w:r w:rsidRPr="00F332FC">
        <w:rPr>
          <w:sz w:val="32"/>
          <w:szCs w:val="32"/>
        </w:rPr>
        <w:t>IgAN</w:t>
      </w:r>
      <w:proofErr w:type="spellEnd"/>
      <w:r w:rsidRPr="00F332FC">
        <w:rPr>
          <w:sz w:val="32"/>
          <w:szCs w:val="32"/>
        </w:rPr>
        <w:t>, but with an otherwise similar immunofluorescence profile.</w:t>
      </w:r>
    </w:p>
    <w:p w14:paraId="6E5030C7" w14:textId="77777777" w:rsidR="001C26E6" w:rsidRPr="00F332FC" w:rsidRDefault="001C26E6" w:rsidP="00F332FC">
      <w:pPr>
        <w:jc w:val="both"/>
        <w:rPr>
          <w:sz w:val="32"/>
          <w:szCs w:val="32"/>
        </w:rPr>
      </w:pPr>
    </w:p>
    <w:p w14:paraId="156C4100" w14:textId="77777777" w:rsidR="001C26E6" w:rsidRPr="00F332FC" w:rsidRDefault="001C26E6" w:rsidP="00F332FC">
      <w:pPr>
        <w:jc w:val="both"/>
        <w:rPr>
          <w:sz w:val="32"/>
          <w:szCs w:val="32"/>
        </w:rPr>
      </w:pPr>
      <w:r w:rsidRPr="00F332FC">
        <w:rPr>
          <w:sz w:val="32"/>
          <w:szCs w:val="32"/>
        </w:rPr>
        <w:t>There is no clear known explanation for the accumulation of the IgA. Exogenous antigens for IgA have not been identified in the kidney, but it is possible that this antigen has been cleared before the disease manifests itself. It has also been proposed that IgA itself may be the antigen.</w:t>
      </w:r>
    </w:p>
    <w:p w14:paraId="75065678" w14:textId="77777777" w:rsidR="001C26E6" w:rsidRPr="00F332FC" w:rsidRDefault="001C26E6" w:rsidP="001C26E6">
      <w:pPr>
        <w:rPr>
          <w:sz w:val="32"/>
          <w:szCs w:val="32"/>
        </w:rPr>
      </w:pPr>
    </w:p>
    <w:p w14:paraId="0F301FA6" w14:textId="77777777" w:rsidR="001C26E6" w:rsidRPr="001C26E6" w:rsidRDefault="001C26E6" w:rsidP="00F332FC">
      <w:pPr>
        <w:jc w:val="both"/>
        <w:rPr>
          <w:b/>
          <w:bCs/>
          <w:color w:val="FF0000"/>
          <w:sz w:val="32"/>
          <w:szCs w:val="32"/>
        </w:rPr>
      </w:pPr>
      <w:r w:rsidRPr="00F332FC">
        <w:rPr>
          <w:sz w:val="32"/>
          <w:szCs w:val="32"/>
        </w:rPr>
        <w:t xml:space="preserve">A recently advanced theory focuses on abnormalities of the IgA1 molecule. IgA1 is one of the two immunoglobulin subclasses (the other is </w:t>
      </w:r>
      <w:proofErr w:type="spellStart"/>
      <w:r w:rsidRPr="00F332FC">
        <w:rPr>
          <w:sz w:val="32"/>
          <w:szCs w:val="32"/>
        </w:rPr>
        <w:t>IgD</w:t>
      </w:r>
      <w:proofErr w:type="spellEnd"/>
      <w:r w:rsidRPr="00F332FC">
        <w:rPr>
          <w:sz w:val="32"/>
          <w:szCs w:val="32"/>
        </w:rPr>
        <w:t xml:space="preserve">) that is O-glycosylated on </w:t>
      </w:r>
      <w:proofErr w:type="gramStart"/>
      <w:r w:rsidRPr="00F332FC">
        <w:rPr>
          <w:sz w:val="32"/>
          <w:szCs w:val="32"/>
        </w:rPr>
        <w:t>a number of</w:t>
      </w:r>
      <w:proofErr w:type="gramEnd"/>
      <w:r w:rsidRPr="00F332FC">
        <w:rPr>
          <w:sz w:val="32"/>
          <w:szCs w:val="32"/>
        </w:rPr>
        <w:t xml:space="preserve"> serine and threonine residues in a special proline-rich hinge region. Aberrant glycosylation of IgA appears to lead to </w:t>
      </w:r>
      <w:proofErr w:type="spellStart"/>
      <w:r w:rsidRPr="00F332FC">
        <w:rPr>
          <w:sz w:val="32"/>
          <w:szCs w:val="32"/>
        </w:rPr>
        <w:t>polymerisation</w:t>
      </w:r>
      <w:proofErr w:type="spellEnd"/>
      <w:r w:rsidRPr="00F332FC">
        <w:rPr>
          <w:sz w:val="32"/>
          <w:szCs w:val="32"/>
        </w:rPr>
        <w:t xml:space="preserve"> of the IgA molecules in tissues, especially the glomerular </w:t>
      </w:r>
      <w:proofErr w:type="spellStart"/>
      <w:r w:rsidRPr="00F332FC">
        <w:rPr>
          <w:sz w:val="32"/>
          <w:szCs w:val="32"/>
        </w:rPr>
        <w:t>mesangium</w:t>
      </w:r>
      <w:proofErr w:type="spellEnd"/>
      <w:r w:rsidRPr="00F332FC">
        <w:rPr>
          <w:sz w:val="32"/>
          <w:szCs w:val="32"/>
        </w:rPr>
        <w:t>.[4] A similar mechanism has been claimed to underlie Henoch–</w:t>
      </w:r>
      <w:proofErr w:type="spellStart"/>
      <w:r w:rsidRPr="00F332FC">
        <w:rPr>
          <w:sz w:val="32"/>
          <w:szCs w:val="32"/>
        </w:rPr>
        <w:t>Schönlein</w:t>
      </w:r>
      <w:proofErr w:type="spellEnd"/>
      <w:r w:rsidRPr="00F332FC">
        <w:rPr>
          <w:sz w:val="32"/>
          <w:szCs w:val="32"/>
        </w:rPr>
        <w:t xml:space="preserve"> purpura, a vasculitis that mainly affects children and can feature renal involvement that is almost indistinguishable from IgA nephritis. However, human studies have found that </w:t>
      </w:r>
      <w:proofErr w:type="spellStart"/>
      <w:r w:rsidRPr="00F332FC">
        <w:rPr>
          <w:sz w:val="32"/>
          <w:szCs w:val="32"/>
        </w:rPr>
        <w:t>degalactosylation</w:t>
      </w:r>
      <w:proofErr w:type="spellEnd"/>
      <w:r w:rsidRPr="00F332FC">
        <w:rPr>
          <w:sz w:val="32"/>
          <w:szCs w:val="32"/>
        </w:rPr>
        <w:t xml:space="preserve"> of IgA1 occurs in patients with IgA nephropathy in response only to gut antigen exposures (not systemic</w:t>
      </w:r>
      <w:proofErr w:type="gramStart"/>
      <w:r w:rsidRPr="00F332FC">
        <w:rPr>
          <w:sz w:val="32"/>
          <w:szCs w:val="32"/>
        </w:rPr>
        <w:t>), and</w:t>
      </w:r>
      <w:proofErr w:type="gramEnd"/>
      <w:r w:rsidRPr="00F332FC">
        <w:rPr>
          <w:sz w:val="32"/>
          <w:szCs w:val="32"/>
        </w:rPr>
        <w:t xml:space="preserve"> occurs in healthy people to a lesser extent.[5] This strongly suggests </w:t>
      </w:r>
      <w:proofErr w:type="spellStart"/>
      <w:r w:rsidRPr="00F332FC">
        <w:rPr>
          <w:sz w:val="32"/>
          <w:szCs w:val="32"/>
        </w:rPr>
        <w:t>degalactosylation</w:t>
      </w:r>
      <w:proofErr w:type="spellEnd"/>
      <w:r w:rsidRPr="00F332FC">
        <w:rPr>
          <w:sz w:val="32"/>
          <w:szCs w:val="32"/>
        </w:rPr>
        <w:t xml:space="preserve"> of IgA1 is a result of an underlying phenomenon (abnormal mucosal antigen</w:t>
      </w:r>
      <w:r w:rsidRPr="00F332FC">
        <w:rPr>
          <w:b/>
          <w:bCs/>
          <w:sz w:val="32"/>
          <w:szCs w:val="32"/>
        </w:rPr>
        <w:t xml:space="preserve"> </w:t>
      </w:r>
      <w:r w:rsidRPr="00F332FC">
        <w:rPr>
          <w:sz w:val="32"/>
          <w:szCs w:val="32"/>
        </w:rPr>
        <w:t>handling) and not the ultimate cause of IgA nephropathy. Prevailing evidence suggests that both galactose-deficient o-glycans in the hinge region of IgA1 and synthesis and binding of antibodies against IgA1 are required for immunoglobulin complexes to form and accumulate in glomeruli.[6]</w:t>
      </w:r>
    </w:p>
    <w:p w14:paraId="443AE611" w14:textId="77777777" w:rsidR="001C26E6" w:rsidRPr="001C26E6" w:rsidRDefault="001C26E6" w:rsidP="001C26E6">
      <w:pPr>
        <w:rPr>
          <w:b/>
          <w:bCs/>
          <w:color w:val="FF0000"/>
          <w:sz w:val="32"/>
          <w:szCs w:val="32"/>
        </w:rPr>
      </w:pPr>
    </w:p>
    <w:p w14:paraId="5C738DD0" w14:textId="65EBC33C" w:rsidR="001C26E6" w:rsidRDefault="001C26E6" w:rsidP="001C26E6">
      <w:pPr>
        <w:jc w:val="both"/>
        <w:rPr>
          <w:color w:val="000000" w:themeColor="text1"/>
          <w:sz w:val="32"/>
          <w:szCs w:val="32"/>
        </w:rPr>
      </w:pPr>
      <w:r w:rsidRPr="00F332FC">
        <w:rPr>
          <w:color w:val="000000" w:themeColor="text1"/>
          <w:sz w:val="32"/>
          <w:szCs w:val="32"/>
        </w:rPr>
        <w:lastRenderedPageBreak/>
        <w:t xml:space="preserve">From the fact that </w:t>
      </w:r>
      <w:proofErr w:type="spellStart"/>
      <w:r w:rsidRPr="00F332FC">
        <w:rPr>
          <w:color w:val="000000" w:themeColor="text1"/>
          <w:sz w:val="32"/>
          <w:szCs w:val="32"/>
        </w:rPr>
        <w:t>IgAN</w:t>
      </w:r>
      <w:proofErr w:type="spellEnd"/>
      <w:r w:rsidRPr="00F332FC">
        <w:rPr>
          <w:color w:val="000000" w:themeColor="text1"/>
          <w:sz w:val="32"/>
          <w:szCs w:val="32"/>
        </w:rPr>
        <w:t xml:space="preserve"> can recur after renal transplant, it can be postulated that the disease is caused by a problem in the immune system rather than the kidney itself. Remarkably, the IgA1 that accumulates in the kidney does not appear to originate from the mucosa-associated lymphoid tissue (MALT), which is the site of most upper respiratory tract infections, but from the bone marrow. This, too, suggests an immune pathology rather than direct interference by outside agents.</w:t>
      </w:r>
    </w:p>
    <w:p w14:paraId="20ADCF88" w14:textId="46FF5C1D" w:rsidR="00F332FC" w:rsidRDefault="00F332FC" w:rsidP="001C26E6">
      <w:pPr>
        <w:jc w:val="both"/>
        <w:rPr>
          <w:color w:val="000000" w:themeColor="text1"/>
          <w:sz w:val="32"/>
          <w:szCs w:val="32"/>
        </w:rPr>
      </w:pPr>
    </w:p>
    <w:p w14:paraId="248E0EBA" w14:textId="77777777" w:rsidR="00F332FC" w:rsidRPr="00F332FC" w:rsidRDefault="00F332FC" w:rsidP="00F332FC">
      <w:pPr>
        <w:rPr>
          <w:b/>
          <w:bCs/>
          <w:color w:val="C00000"/>
          <w:sz w:val="40"/>
          <w:szCs w:val="40"/>
        </w:rPr>
      </w:pPr>
      <w:r w:rsidRPr="00F332FC">
        <w:rPr>
          <w:b/>
          <w:bCs/>
          <w:color w:val="C00000"/>
          <w:sz w:val="40"/>
          <w:szCs w:val="40"/>
        </w:rPr>
        <w:t>Diagnosis</w:t>
      </w:r>
    </w:p>
    <w:p w14:paraId="78D7C2E5" w14:textId="77777777" w:rsidR="00F332FC" w:rsidRPr="00F332FC" w:rsidRDefault="00F332FC" w:rsidP="00F332FC">
      <w:pPr>
        <w:jc w:val="both"/>
        <w:rPr>
          <w:color w:val="000000" w:themeColor="text1"/>
          <w:sz w:val="32"/>
          <w:szCs w:val="32"/>
        </w:rPr>
      </w:pPr>
      <w:r w:rsidRPr="00F332FC">
        <w:rPr>
          <w:color w:val="000000" w:themeColor="text1"/>
          <w:sz w:val="32"/>
          <w:szCs w:val="32"/>
        </w:rPr>
        <w:t xml:space="preserve">For an adult patient with isolated hematuria, tests such as ultrasound of the kidney and cystoscopy are usually done first to pinpoint the source of the bleeding. These tests would rule out kidney stones and bladder cancer, two other common urological causes of hematuria. In children and younger adults, the history and association with respiratory infection can raise the suspicion of IgA nephropathy. A kidney biopsy is necessary to confirm the diagnosis. The biopsy specimen shows proliferation of the </w:t>
      </w:r>
      <w:proofErr w:type="spellStart"/>
      <w:r w:rsidRPr="00F332FC">
        <w:rPr>
          <w:color w:val="000000" w:themeColor="text1"/>
          <w:sz w:val="32"/>
          <w:szCs w:val="32"/>
        </w:rPr>
        <w:t>mesangium</w:t>
      </w:r>
      <w:proofErr w:type="spellEnd"/>
      <w:r w:rsidRPr="00F332FC">
        <w:rPr>
          <w:color w:val="000000" w:themeColor="text1"/>
          <w:sz w:val="32"/>
          <w:szCs w:val="32"/>
        </w:rPr>
        <w:t>, with IgA deposits on immunofluorescence and electron microscopy. However, patients with isolated microscopic hematuria (</w:t>
      </w:r>
      <w:proofErr w:type="gramStart"/>
      <w:r w:rsidRPr="00F332FC">
        <w:rPr>
          <w:color w:val="000000" w:themeColor="text1"/>
          <w:sz w:val="32"/>
          <w:szCs w:val="32"/>
        </w:rPr>
        <w:t>i.e.</w:t>
      </w:r>
      <w:proofErr w:type="gramEnd"/>
      <w:r w:rsidRPr="00F332FC">
        <w:rPr>
          <w:color w:val="000000" w:themeColor="text1"/>
          <w:sz w:val="32"/>
          <w:szCs w:val="32"/>
        </w:rPr>
        <w:t xml:space="preserve"> without associated proteinuria and with normal kidney function) are not usually biopsied since this is associated with an excellent prognosis. A urinalysis will show red blood cells, usually as red cell urinary casts. Proteinuria, usually less than 2 grams per day, also may be present. Other renal causes of isolated hematuria include thin basement membrane disease and Alport syndrome, the latter being a hereditary disease associated with hearing impairment and eye problems.</w:t>
      </w:r>
    </w:p>
    <w:p w14:paraId="085CB66B" w14:textId="77777777" w:rsidR="00F332FC" w:rsidRPr="00F332FC" w:rsidRDefault="00F332FC" w:rsidP="00F332FC">
      <w:pPr>
        <w:jc w:val="both"/>
        <w:rPr>
          <w:color w:val="000000" w:themeColor="text1"/>
          <w:sz w:val="32"/>
          <w:szCs w:val="32"/>
        </w:rPr>
      </w:pPr>
    </w:p>
    <w:p w14:paraId="4D7D97DB" w14:textId="4E765DDC" w:rsidR="00F332FC" w:rsidRDefault="00F332FC" w:rsidP="00F332FC">
      <w:pPr>
        <w:jc w:val="both"/>
        <w:rPr>
          <w:color w:val="000000" w:themeColor="text1"/>
          <w:sz w:val="32"/>
          <w:szCs w:val="32"/>
        </w:rPr>
      </w:pPr>
      <w:r w:rsidRPr="00F332FC">
        <w:rPr>
          <w:color w:val="000000" w:themeColor="text1"/>
          <w:sz w:val="32"/>
          <w:szCs w:val="32"/>
        </w:rPr>
        <w:lastRenderedPageBreak/>
        <w:t>Other blood tests done to aid in the diagnosis include CRP or ESR, complement levels, ANA, and LDH. Protein electrophoresis and immunoglobulin levels can show increased IgA in 50% of all patients.</w:t>
      </w:r>
    </w:p>
    <w:p w14:paraId="2DFBA361" w14:textId="7B00A0B9" w:rsidR="00BB370B" w:rsidRDefault="00BB370B" w:rsidP="00F332FC">
      <w:pPr>
        <w:jc w:val="both"/>
        <w:rPr>
          <w:color w:val="000000" w:themeColor="text1"/>
          <w:sz w:val="32"/>
          <w:szCs w:val="32"/>
        </w:rPr>
      </w:pPr>
    </w:p>
    <w:p w14:paraId="6222DC55" w14:textId="6E6B94D9" w:rsidR="00BB370B" w:rsidRDefault="00BB370B" w:rsidP="00F332FC">
      <w:pPr>
        <w:jc w:val="both"/>
        <w:rPr>
          <w:color w:val="000000" w:themeColor="text1"/>
          <w:sz w:val="32"/>
          <w:szCs w:val="32"/>
        </w:rPr>
      </w:pPr>
    </w:p>
    <w:p w14:paraId="303A3F38" w14:textId="7CC9D8D4" w:rsidR="00BB370B" w:rsidRDefault="00BB370B" w:rsidP="00F332FC">
      <w:pPr>
        <w:jc w:val="both"/>
        <w:rPr>
          <w:color w:val="000000" w:themeColor="text1"/>
          <w:sz w:val="32"/>
          <w:szCs w:val="32"/>
        </w:rPr>
      </w:pPr>
      <w:r w:rsidRPr="00BB370B">
        <w:rPr>
          <w:noProof/>
        </w:rPr>
        <w:drawing>
          <wp:inline distT="0" distB="0" distL="0" distR="0" wp14:anchorId="66903427" wp14:editId="410D609F">
            <wp:extent cx="5915025" cy="5600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5025" cy="5600700"/>
                    </a:xfrm>
                    <a:prstGeom prst="rect">
                      <a:avLst/>
                    </a:prstGeom>
                  </pic:spPr>
                </pic:pic>
              </a:graphicData>
            </a:graphic>
          </wp:inline>
        </w:drawing>
      </w:r>
    </w:p>
    <w:p w14:paraId="78325A43" w14:textId="3EBDA637" w:rsidR="00BB370B" w:rsidRDefault="00BB370B" w:rsidP="00F332FC">
      <w:pPr>
        <w:jc w:val="both"/>
        <w:rPr>
          <w:color w:val="000000" w:themeColor="text1"/>
          <w:sz w:val="32"/>
          <w:szCs w:val="32"/>
        </w:rPr>
      </w:pPr>
    </w:p>
    <w:p w14:paraId="7DBBC42C" w14:textId="65F46914" w:rsidR="00F332FC" w:rsidRDefault="00F332FC" w:rsidP="00F332FC">
      <w:pPr>
        <w:jc w:val="both"/>
        <w:rPr>
          <w:color w:val="000000" w:themeColor="text1"/>
          <w:sz w:val="32"/>
          <w:szCs w:val="32"/>
        </w:rPr>
      </w:pPr>
    </w:p>
    <w:p w14:paraId="6C700CCA" w14:textId="39408BF4" w:rsidR="00D526D8" w:rsidRDefault="00D526D8" w:rsidP="00F332FC">
      <w:pPr>
        <w:jc w:val="both"/>
        <w:rPr>
          <w:color w:val="000000" w:themeColor="text1"/>
          <w:sz w:val="32"/>
          <w:szCs w:val="32"/>
        </w:rPr>
      </w:pPr>
      <w:r w:rsidRPr="00D526D8">
        <w:rPr>
          <w:noProof/>
        </w:rPr>
        <w:lastRenderedPageBreak/>
        <w:drawing>
          <wp:inline distT="0" distB="0" distL="0" distR="0" wp14:anchorId="1BBB5824" wp14:editId="79117137">
            <wp:extent cx="5943600" cy="310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05150"/>
                    </a:xfrm>
                    <a:prstGeom prst="rect">
                      <a:avLst/>
                    </a:prstGeom>
                  </pic:spPr>
                </pic:pic>
              </a:graphicData>
            </a:graphic>
          </wp:inline>
        </w:drawing>
      </w:r>
    </w:p>
    <w:p w14:paraId="7C45E175" w14:textId="77777777" w:rsidR="00BB370B" w:rsidRPr="00F332FC" w:rsidRDefault="00BB370B" w:rsidP="00F332FC">
      <w:pPr>
        <w:jc w:val="both"/>
        <w:rPr>
          <w:color w:val="000000" w:themeColor="text1"/>
          <w:sz w:val="32"/>
          <w:szCs w:val="32"/>
        </w:rPr>
      </w:pPr>
    </w:p>
    <w:p w14:paraId="7AAF6E76" w14:textId="2D31506E" w:rsidR="001C26E6" w:rsidRDefault="00705444" w:rsidP="00F57961">
      <w:pPr>
        <w:jc w:val="both"/>
        <w:rPr>
          <w:b/>
          <w:bCs/>
          <w:color w:val="FF0000"/>
          <w:sz w:val="32"/>
          <w:szCs w:val="32"/>
        </w:rPr>
      </w:pPr>
      <w:r w:rsidRPr="00705444">
        <w:rPr>
          <w:noProof/>
        </w:rPr>
        <w:drawing>
          <wp:inline distT="0" distB="0" distL="0" distR="0" wp14:anchorId="38A38CD6" wp14:editId="3C38355E">
            <wp:extent cx="5981700" cy="4462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1700" cy="4462145"/>
                    </a:xfrm>
                    <a:prstGeom prst="rect">
                      <a:avLst/>
                    </a:prstGeom>
                  </pic:spPr>
                </pic:pic>
              </a:graphicData>
            </a:graphic>
          </wp:inline>
        </w:drawing>
      </w:r>
    </w:p>
    <w:p w14:paraId="57E752C4" w14:textId="318042EE" w:rsidR="000B2BF9" w:rsidRDefault="0037650C" w:rsidP="0037650C">
      <w:pPr>
        <w:jc w:val="both"/>
        <w:rPr>
          <w:b/>
          <w:bCs/>
          <w:color w:val="FF0000"/>
          <w:sz w:val="52"/>
          <w:szCs w:val="52"/>
        </w:rPr>
      </w:pPr>
      <w:r w:rsidRPr="0037650C">
        <w:rPr>
          <w:b/>
          <w:bCs/>
          <w:color w:val="FF0000"/>
          <w:sz w:val="52"/>
          <w:szCs w:val="52"/>
        </w:rPr>
        <w:lastRenderedPageBreak/>
        <w:t>Kidney carcinoma</w:t>
      </w:r>
    </w:p>
    <w:p w14:paraId="20947A2E" w14:textId="0B9DF5A1" w:rsidR="0037650C" w:rsidRDefault="0037650C" w:rsidP="0037650C">
      <w:pPr>
        <w:jc w:val="both"/>
        <w:rPr>
          <w:color w:val="000000" w:themeColor="text1"/>
          <w:sz w:val="32"/>
          <w:szCs w:val="32"/>
        </w:rPr>
      </w:pPr>
      <w:r w:rsidRPr="0037650C">
        <w:rPr>
          <w:color w:val="000000" w:themeColor="text1"/>
          <w:sz w:val="32"/>
          <w:szCs w:val="32"/>
        </w:rPr>
        <w:t xml:space="preserve">Renal cell carcinoma (RCC) is a kidney cancer that originates in the lining of the proximal convoluted tubule, a part of the very small tubes in the kidney that transport primary urine. RCC is the most common type of kidney cancer in adults, responsible for approximately 90–95% of </w:t>
      </w:r>
      <w:proofErr w:type="gramStart"/>
      <w:r w:rsidRPr="0037650C">
        <w:rPr>
          <w:color w:val="000000" w:themeColor="text1"/>
          <w:sz w:val="32"/>
          <w:szCs w:val="32"/>
        </w:rPr>
        <w:t>cases ,</w:t>
      </w:r>
      <w:proofErr w:type="gramEnd"/>
      <w:r w:rsidRPr="0037650C">
        <w:rPr>
          <w:color w:val="000000" w:themeColor="text1"/>
          <w:sz w:val="32"/>
          <w:szCs w:val="32"/>
        </w:rPr>
        <w:t xml:space="preserve"> Hereditary factors have a minor impact on individual susceptibility cases</w:t>
      </w:r>
    </w:p>
    <w:p w14:paraId="45E4E573" w14:textId="18D8ECD0" w:rsidR="0037650C" w:rsidRDefault="0037650C" w:rsidP="0037650C">
      <w:pPr>
        <w:jc w:val="both"/>
        <w:rPr>
          <w:color w:val="000000" w:themeColor="text1"/>
          <w:sz w:val="32"/>
          <w:szCs w:val="32"/>
        </w:rPr>
      </w:pPr>
      <w:r>
        <w:rPr>
          <w:noProof/>
        </w:rPr>
        <w:drawing>
          <wp:inline distT="0" distB="0" distL="0" distR="0" wp14:anchorId="01595E3E" wp14:editId="2D713BC7">
            <wp:extent cx="5943600" cy="3407410"/>
            <wp:effectExtent l="0" t="0" r="0" b="2540"/>
            <wp:docPr id="1030"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07410"/>
                    </a:xfrm>
                    <a:prstGeom prst="rect">
                      <a:avLst/>
                    </a:prstGeom>
                    <a:noFill/>
                  </pic:spPr>
                </pic:pic>
              </a:graphicData>
            </a:graphic>
          </wp:inline>
        </w:drawing>
      </w:r>
    </w:p>
    <w:p w14:paraId="5501AB5F" w14:textId="696DD25B" w:rsidR="0037650C" w:rsidRDefault="0037650C" w:rsidP="0037650C">
      <w:pPr>
        <w:jc w:val="both"/>
        <w:rPr>
          <w:rFonts w:ascii="Calibri" w:eastAsia="+mj-ea" w:hAnsi="Calibri" w:cs="+mj-cs"/>
          <w:color w:val="000000"/>
          <w:kern w:val="24"/>
          <w:sz w:val="40"/>
          <w:szCs w:val="40"/>
        </w:rPr>
      </w:pPr>
      <w:proofErr w:type="gramStart"/>
      <w:r>
        <w:rPr>
          <w:rFonts w:ascii="Calibri" w:eastAsia="+mj-ea" w:hAnsi="Calibri" w:cs="+mj-cs"/>
          <w:color w:val="FF0000"/>
          <w:kern w:val="24"/>
          <w:sz w:val="40"/>
          <w:szCs w:val="40"/>
        </w:rPr>
        <w:t>Grossly :</w:t>
      </w:r>
      <w:proofErr w:type="gramEnd"/>
      <w:r>
        <w:rPr>
          <w:rFonts w:ascii="Calibri" w:eastAsia="+mj-ea" w:hAnsi="Calibri" w:cs="+mj-cs"/>
          <w:color w:val="FF0000"/>
          <w:kern w:val="24"/>
          <w:sz w:val="40"/>
          <w:szCs w:val="40"/>
        </w:rPr>
        <w:t xml:space="preserve"> </w:t>
      </w:r>
      <w:r>
        <w:rPr>
          <w:rFonts w:ascii="Calibri" w:eastAsia="+mj-ea" w:hAnsi="Calibri" w:cs="+mj-cs"/>
          <w:color w:val="000000"/>
          <w:kern w:val="24"/>
          <w:sz w:val="40"/>
          <w:szCs w:val="40"/>
        </w:rPr>
        <w:t>there is enlargement in the size of kidney with yellowish nodules and area of hemorrhagic</w:t>
      </w:r>
      <w:r>
        <w:rPr>
          <w:rFonts w:ascii="Calibri" w:eastAsia="+mj-ea" w:hAnsi="Calibri" w:cs="+mj-cs"/>
          <w:color w:val="000000"/>
          <w:kern w:val="24"/>
          <w:sz w:val="40"/>
          <w:szCs w:val="40"/>
        </w:rPr>
        <w:br/>
      </w:r>
      <w:r>
        <w:rPr>
          <w:rFonts w:ascii="Calibri" w:eastAsia="+mj-ea" w:hAnsi="Calibri" w:cs="+mj-cs"/>
          <w:color w:val="FF0000"/>
          <w:kern w:val="24"/>
          <w:sz w:val="40"/>
          <w:szCs w:val="40"/>
        </w:rPr>
        <w:t xml:space="preserve">Diagnosis : </w:t>
      </w:r>
      <w:r>
        <w:rPr>
          <w:rFonts w:ascii="Calibri" w:eastAsia="+mj-ea" w:hAnsi="Calibri" w:cs="+mj-cs"/>
          <w:color w:val="000000"/>
          <w:kern w:val="24"/>
          <w:sz w:val="40"/>
          <w:szCs w:val="40"/>
        </w:rPr>
        <w:t>kidney carcinoma</w:t>
      </w:r>
    </w:p>
    <w:p w14:paraId="352BE23F" w14:textId="6F936805" w:rsidR="00DA015A" w:rsidRDefault="00DA015A" w:rsidP="0037650C">
      <w:pPr>
        <w:jc w:val="both"/>
        <w:rPr>
          <w:rFonts w:ascii="Calibri" w:eastAsia="+mj-ea" w:hAnsi="Calibri" w:cs="+mj-cs"/>
          <w:color w:val="000000"/>
          <w:kern w:val="24"/>
          <w:sz w:val="40"/>
          <w:szCs w:val="40"/>
        </w:rPr>
      </w:pPr>
    </w:p>
    <w:p w14:paraId="050A7F8E" w14:textId="7ECC2840" w:rsidR="00DA015A" w:rsidRDefault="00DA015A" w:rsidP="0037650C">
      <w:pPr>
        <w:jc w:val="both"/>
        <w:rPr>
          <w:rFonts w:ascii="Calibri" w:eastAsia="+mj-ea" w:hAnsi="Calibri" w:cs="+mj-cs"/>
          <w:color w:val="000000"/>
          <w:kern w:val="24"/>
          <w:sz w:val="40"/>
          <w:szCs w:val="40"/>
        </w:rPr>
      </w:pPr>
    </w:p>
    <w:p w14:paraId="79310BE5" w14:textId="69A238B7" w:rsidR="00DA015A" w:rsidRDefault="00DA015A" w:rsidP="0037650C">
      <w:pPr>
        <w:jc w:val="both"/>
        <w:rPr>
          <w:rFonts w:ascii="Calibri" w:eastAsia="+mj-ea" w:hAnsi="Calibri" w:cs="+mj-cs"/>
          <w:color w:val="000000"/>
          <w:kern w:val="24"/>
          <w:sz w:val="40"/>
          <w:szCs w:val="40"/>
        </w:rPr>
      </w:pPr>
    </w:p>
    <w:p w14:paraId="0F66AD4F" w14:textId="71136798" w:rsidR="00DA015A" w:rsidRDefault="00DA015A" w:rsidP="0037650C">
      <w:pPr>
        <w:jc w:val="both"/>
        <w:rPr>
          <w:rFonts w:ascii="Calibri" w:eastAsia="+mj-ea" w:hAnsi="Calibri" w:cs="+mj-cs"/>
          <w:color w:val="000000"/>
          <w:kern w:val="24"/>
          <w:sz w:val="40"/>
          <w:szCs w:val="40"/>
        </w:rPr>
      </w:pPr>
    </w:p>
    <w:p w14:paraId="639EA992" w14:textId="74F7748B" w:rsidR="00DA015A" w:rsidRPr="00DA015A" w:rsidRDefault="00DA015A" w:rsidP="00DA015A">
      <w:pPr>
        <w:rPr>
          <w:rFonts w:ascii="Calibri" w:eastAsia="+mj-ea" w:hAnsi="Calibri" w:cs="+mj-cs"/>
          <w:color w:val="FF0000"/>
          <w:kern w:val="24"/>
          <w:sz w:val="32"/>
          <w:szCs w:val="32"/>
        </w:rPr>
      </w:pPr>
      <w:r w:rsidRPr="00DA015A">
        <w:rPr>
          <w:rFonts w:ascii="Calibri" w:eastAsia="+mj-ea" w:hAnsi="Calibri" w:cs="+mj-cs"/>
          <w:color w:val="FF0000"/>
          <w:kern w:val="24"/>
          <w:sz w:val="32"/>
          <w:szCs w:val="32"/>
        </w:rPr>
        <w:lastRenderedPageBreak/>
        <w:t>There are some risk factors for the disease, including:</w:t>
      </w:r>
    </w:p>
    <w:p w14:paraId="58DC4378" w14:textId="1A90AB61" w:rsidR="00DA015A" w:rsidRPr="00DA015A" w:rsidRDefault="00DA015A" w:rsidP="00DA015A">
      <w:pPr>
        <w:rPr>
          <w:rFonts w:ascii="Calibri" w:eastAsia="+mj-ea" w:hAnsi="Calibri" w:cs="+mj-cs"/>
          <w:color w:val="000000"/>
          <w:kern w:val="24"/>
          <w:sz w:val="32"/>
          <w:szCs w:val="32"/>
        </w:rPr>
      </w:pPr>
      <w:r w:rsidRPr="00DA015A">
        <w:rPr>
          <w:rFonts w:ascii="Calibri" w:eastAsia="+mj-ea" w:hAnsi="Calibri" w:cs="+mj-cs"/>
          <w:color w:val="000000"/>
          <w:kern w:val="24"/>
          <w:sz w:val="32"/>
          <w:szCs w:val="32"/>
        </w:rPr>
        <w:t>-</w:t>
      </w:r>
      <w:r w:rsidRPr="00DA015A">
        <w:rPr>
          <w:rFonts w:ascii="Calibri" w:eastAsia="+mj-ea" w:hAnsi="Calibri" w:cs="+mj-cs"/>
          <w:color w:val="000000"/>
          <w:kern w:val="24"/>
          <w:sz w:val="32"/>
          <w:szCs w:val="32"/>
        </w:rPr>
        <w:t>family history of RCC</w:t>
      </w:r>
    </w:p>
    <w:p w14:paraId="15152EFC" w14:textId="3B0B71F8" w:rsidR="00DA015A" w:rsidRPr="00DA015A" w:rsidRDefault="00DA015A" w:rsidP="00DA015A">
      <w:pPr>
        <w:rPr>
          <w:rFonts w:ascii="Calibri" w:eastAsia="+mj-ea" w:hAnsi="Calibri" w:cs="+mj-cs"/>
          <w:color w:val="000000"/>
          <w:kern w:val="24"/>
          <w:sz w:val="32"/>
          <w:szCs w:val="32"/>
        </w:rPr>
      </w:pPr>
      <w:r w:rsidRPr="00DA015A">
        <w:rPr>
          <w:rFonts w:ascii="Calibri" w:eastAsia="+mj-ea" w:hAnsi="Calibri" w:cs="+mj-cs"/>
          <w:color w:val="000000"/>
          <w:kern w:val="24"/>
          <w:sz w:val="32"/>
          <w:szCs w:val="32"/>
        </w:rPr>
        <w:t>-</w:t>
      </w:r>
      <w:r w:rsidRPr="00DA015A">
        <w:rPr>
          <w:rFonts w:ascii="Calibri" w:eastAsia="+mj-ea" w:hAnsi="Calibri" w:cs="+mj-cs"/>
          <w:color w:val="000000"/>
          <w:kern w:val="24"/>
          <w:sz w:val="32"/>
          <w:szCs w:val="32"/>
        </w:rPr>
        <w:t>dialysis treatment</w:t>
      </w:r>
    </w:p>
    <w:p w14:paraId="68B82B99" w14:textId="412006BE" w:rsidR="00DA015A" w:rsidRPr="00DA015A" w:rsidRDefault="00DA015A" w:rsidP="00DA015A">
      <w:pPr>
        <w:rPr>
          <w:rFonts w:ascii="Calibri" w:eastAsia="+mj-ea" w:hAnsi="Calibri" w:cs="+mj-cs"/>
          <w:color w:val="000000"/>
          <w:kern w:val="24"/>
          <w:sz w:val="32"/>
          <w:szCs w:val="32"/>
        </w:rPr>
      </w:pPr>
      <w:r w:rsidRPr="00DA015A">
        <w:rPr>
          <w:rFonts w:ascii="Calibri" w:eastAsia="+mj-ea" w:hAnsi="Calibri" w:cs="+mj-cs"/>
          <w:color w:val="000000"/>
          <w:kern w:val="24"/>
          <w:sz w:val="32"/>
          <w:szCs w:val="32"/>
        </w:rPr>
        <w:t>-</w:t>
      </w:r>
      <w:r w:rsidRPr="00DA015A">
        <w:rPr>
          <w:rFonts w:ascii="Calibri" w:eastAsia="+mj-ea" w:hAnsi="Calibri" w:cs="+mj-cs"/>
          <w:color w:val="000000"/>
          <w:kern w:val="24"/>
          <w:sz w:val="32"/>
          <w:szCs w:val="32"/>
        </w:rPr>
        <w:t>hypertension</w:t>
      </w:r>
    </w:p>
    <w:p w14:paraId="7C6D734E" w14:textId="117AACB2" w:rsidR="00DA015A" w:rsidRPr="00DA015A" w:rsidRDefault="00DA015A" w:rsidP="00DA015A">
      <w:pPr>
        <w:rPr>
          <w:rFonts w:ascii="Calibri" w:eastAsia="+mj-ea" w:hAnsi="Calibri" w:cs="+mj-cs"/>
          <w:color w:val="000000"/>
          <w:kern w:val="24"/>
          <w:sz w:val="32"/>
          <w:szCs w:val="32"/>
        </w:rPr>
      </w:pPr>
      <w:r w:rsidRPr="00DA015A">
        <w:rPr>
          <w:rFonts w:ascii="Calibri" w:eastAsia="+mj-ea" w:hAnsi="Calibri" w:cs="+mj-cs"/>
          <w:color w:val="000000"/>
          <w:kern w:val="24"/>
          <w:sz w:val="32"/>
          <w:szCs w:val="32"/>
        </w:rPr>
        <w:t>-</w:t>
      </w:r>
      <w:r w:rsidRPr="00DA015A">
        <w:rPr>
          <w:rFonts w:ascii="Calibri" w:eastAsia="+mj-ea" w:hAnsi="Calibri" w:cs="+mj-cs"/>
          <w:color w:val="000000"/>
          <w:kern w:val="24"/>
          <w:sz w:val="32"/>
          <w:szCs w:val="32"/>
        </w:rPr>
        <w:t>obesity</w:t>
      </w:r>
    </w:p>
    <w:p w14:paraId="0DED78AA" w14:textId="2A3FE0A3" w:rsidR="00DA015A" w:rsidRPr="00DA015A" w:rsidRDefault="00DA015A" w:rsidP="00DA015A">
      <w:pPr>
        <w:rPr>
          <w:rFonts w:ascii="Calibri" w:eastAsia="+mj-ea" w:hAnsi="Calibri" w:cs="+mj-cs"/>
          <w:color w:val="000000"/>
          <w:kern w:val="24"/>
          <w:sz w:val="32"/>
          <w:szCs w:val="32"/>
        </w:rPr>
      </w:pPr>
      <w:r w:rsidRPr="00DA015A">
        <w:rPr>
          <w:rFonts w:ascii="Calibri" w:eastAsia="+mj-ea" w:hAnsi="Calibri" w:cs="+mj-cs"/>
          <w:color w:val="000000"/>
          <w:kern w:val="24"/>
          <w:sz w:val="32"/>
          <w:szCs w:val="32"/>
        </w:rPr>
        <w:t>-</w:t>
      </w:r>
      <w:r w:rsidRPr="00DA015A">
        <w:rPr>
          <w:rFonts w:ascii="Calibri" w:eastAsia="+mj-ea" w:hAnsi="Calibri" w:cs="+mj-cs"/>
          <w:color w:val="000000"/>
          <w:kern w:val="24"/>
          <w:sz w:val="32"/>
          <w:szCs w:val="32"/>
        </w:rPr>
        <w:t>smoking cigarettes</w:t>
      </w:r>
    </w:p>
    <w:p w14:paraId="6A3AD903" w14:textId="6F999AFD" w:rsidR="00DA015A" w:rsidRPr="00DA015A" w:rsidRDefault="00DA015A" w:rsidP="00DA015A">
      <w:pPr>
        <w:rPr>
          <w:rFonts w:ascii="Calibri" w:eastAsia="+mj-ea" w:hAnsi="Calibri" w:cs="+mj-cs"/>
          <w:color w:val="000000"/>
          <w:kern w:val="24"/>
          <w:sz w:val="32"/>
          <w:szCs w:val="32"/>
        </w:rPr>
      </w:pPr>
      <w:r w:rsidRPr="00DA015A">
        <w:rPr>
          <w:rFonts w:ascii="Calibri" w:eastAsia="+mj-ea" w:hAnsi="Calibri" w:cs="+mj-cs"/>
          <w:color w:val="000000"/>
          <w:kern w:val="24"/>
          <w:sz w:val="32"/>
          <w:szCs w:val="32"/>
        </w:rPr>
        <w:t>-</w:t>
      </w:r>
      <w:r w:rsidRPr="00DA015A">
        <w:rPr>
          <w:rFonts w:ascii="Calibri" w:eastAsia="+mj-ea" w:hAnsi="Calibri" w:cs="+mj-cs"/>
          <w:color w:val="000000"/>
          <w:kern w:val="24"/>
          <w:sz w:val="32"/>
          <w:szCs w:val="32"/>
        </w:rPr>
        <w:t>polycystic kidney disease (an inherited disorder that causes cysts to form in the kidneys)</w:t>
      </w:r>
    </w:p>
    <w:p w14:paraId="6EA43E53" w14:textId="72DBCA94" w:rsidR="00DA015A" w:rsidRPr="00DA015A" w:rsidRDefault="00DA015A" w:rsidP="00DA015A">
      <w:pPr>
        <w:rPr>
          <w:rFonts w:ascii="Calibri" w:eastAsia="+mj-ea" w:hAnsi="Calibri" w:cs="+mj-cs"/>
          <w:color w:val="000000"/>
          <w:kern w:val="24"/>
          <w:sz w:val="32"/>
          <w:szCs w:val="32"/>
        </w:rPr>
      </w:pPr>
      <w:r w:rsidRPr="00DA015A">
        <w:rPr>
          <w:rFonts w:ascii="Calibri" w:eastAsia="+mj-ea" w:hAnsi="Calibri" w:cs="+mj-cs"/>
          <w:color w:val="000000"/>
          <w:kern w:val="24"/>
          <w:sz w:val="32"/>
          <w:szCs w:val="32"/>
        </w:rPr>
        <w:t>-</w:t>
      </w:r>
      <w:r w:rsidRPr="00DA015A">
        <w:rPr>
          <w:rFonts w:ascii="Calibri" w:eastAsia="+mj-ea" w:hAnsi="Calibri" w:cs="+mj-cs"/>
          <w:color w:val="000000"/>
          <w:kern w:val="24"/>
          <w:sz w:val="32"/>
          <w:szCs w:val="32"/>
        </w:rPr>
        <w:t>the genetic condition Von Hippel-Lindau disease (characterized by cysts and tumors in various organs)</w:t>
      </w:r>
    </w:p>
    <w:p w14:paraId="107A1F64" w14:textId="2DF7E81F" w:rsidR="00DA015A" w:rsidRPr="00DA015A" w:rsidRDefault="00DA015A" w:rsidP="00DA015A">
      <w:pPr>
        <w:jc w:val="both"/>
        <w:rPr>
          <w:rFonts w:ascii="Calibri" w:eastAsia="+mj-ea" w:hAnsi="Calibri" w:cs="+mj-cs"/>
          <w:color w:val="000000"/>
          <w:kern w:val="24"/>
          <w:sz w:val="32"/>
          <w:szCs w:val="32"/>
        </w:rPr>
      </w:pPr>
      <w:r w:rsidRPr="00DA015A">
        <w:rPr>
          <w:rFonts w:ascii="Calibri" w:eastAsia="+mj-ea" w:hAnsi="Calibri" w:cs="+mj-cs"/>
          <w:color w:val="000000"/>
          <w:kern w:val="24"/>
          <w:sz w:val="32"/>
          <w:szCs w:val="32"/>
        </w:rPr>
        <w:t>chronic abuse of certain prescribed and over-the-counter medications such as nonsteroidal anti-inflammatory drugs used to treat arthritis, and medications for fever and pain relief such as acetaminophen</w:t>
      </w:r>
    </w:p>
    <w:p w14:paraId="4DB9AF50" w14:textId="18071BAE" w:rsidR="00DA015A" w:rsidRDefault="00DA015A" w:rsidP="0037650C">
      <w:pPr>
        <w:jc w:val="both"/>
        <w:rPr>
          <w:rFonts w:ascii="Calibri" w:eastAsia="+mj-ea" w:hAnsi="Calibri" w:cs="+mj-cs"/>
          <w:b/>
          <w:bCs/>
          <w:color w:val="FF0000"/>
          <w:kern w:val="24"/>
          <w:sz w:val="32"/>
          <w:szCs w:val="32"/>
        </w:rPr>
      </w:pPr>
      <w:r w:rsidRPr="00DA015A">
        <w:rPr>
          <w:rFonts w:ascii="Calibri" w:eastAsia="+mj-ea" w:hAnsi="Calibri" w:cs="+mj-cs"/>
          <w:b/>
          <w:bCs/>
          <w:color w:val="FF0000"/>
          <w:kern w:val="24"/>
          <w:sz w:val="32"/>
          <w:szCs w:val="32"/>
        </w:rPr>
        <w:t>Symptoms of renal cell carcinoma</w:t>
      </w:r>
    </w:p>
    <w:p w14:paraId="4FC0DCA7" w14:textId="355C2072" w:rsidR="00DA015A" w:rsidRPr="00DA015A" w:rsidRDefault="00DA015A" w:rsidP="00DA015A">
      <w:pPr>
        <w:rPr>
          <w:rFonts w:ascii="Calibri" w:eastAsia="+mj-ea" w:hAnsi="Calibri" w:cs="+mj-cs"/>
          <w:color w:val="262626" w:themeColor="text1" w:themeTint="D9"/>
          <w:kern w:val="24"/>
          <w:sz w:val="32"/>
          <w:szCs w:val="32"/>
        </w:rPr>
      </w:pPr>
      <w:r w:rsidRPr="00DA015A">
        <w:rPr>
          <w:rFonts w:ascii="Calibri" w:eastAsia="+mj-ea" w:hAnsi="Calibri" w:cs="+mj-cs"/>
          <w:color w:val="262626" w:themeColor="text1" w:themeTint="D9"/>
          <w:kern w:val="24"/>
          <w:sz w:val="32"/>
          <w:szCs w:val="32"/>
        </w:rPr>
        <w:t>When RCC is in its early stages, patients may be symptom-free. As the disease progresses, symptoms may include:</w:t>
      </w:r>
    </w:p>
    <w:p w14:paraId="34DDC970" w14:textId="2A5573AE" w:rsidR="00DA015A" w:rsidRPr="00DA015A" w:rsidRDefault="00DA015A" w:rsidP="00DA015A">
      <w:pPr>
        <w:rPr>
          <w:rFonts w:ascii="Calibri" w:eastAsia="+mj-ea" w:hAnsi="Calibri" w:cs="+mj-cs"/>
          <w:color w:val="262626" w:themeColor="text1" w:themeTint="D9"/>
          <w:kern w:val="24"/>
          <w:sz w:val="32"/>
          <w:szCs w:val="32"/>
        </w:rPr>
      </w:pPr>
      <w:r>
        <w:rPr>
          <w:rFonts w:ascii="Calibri" w:eastAsia="+mj-ea" w:hAnsi="Calibri" w:cs="+mj-cs"/>
          <w:color w:val="262626" w:themeColor="text1" w:themeTint="D9"/>
          <w:kern w:val="24"/>
          <w:sz w:val="32"/>
          <w:szCs w:val="32"/>
        </w:rPr>
        <w:t>-</w:t>
      </w:r>
      <w:r w:rsidRPr="00DA015A">
        <w:rPr>
          <w:rFonts w:ascii="Calibri" w:eastAsia="+mj-ea" w:hAnsi="Calibri" w:cs="+mj-cs"/>
          <w:color w:val="262626" w:themeColor="text1" w:themeTint="D9"/>
          <w:kern w:val="24"/>
          <w:sz w:val="32"/>
          <w:szCs w:val="32"/>
        </w:rPr>
        <w:t>a lump in the abdomen</w:t>
      </w:r>
    </w:p>
    <w:p w14:paraId="3B858E34" w14:textId="2B43B1E1" w:rsidR="00DA015A" w:rsidRPr="00DA015A" w:rsidRDefault="00DA015A" w:rsidP="00DA015A">
      <w:pPr>
        <w:rPr>
          <w:rFonts w:ascii="Calibri" w:eastAsia="+mj-ea" w:hAnsi="Calibri" w:cs="+mj-cs"/>
          <w:color w:val="262626" w:themeColor="text1" w:themeTint="D9"/>
          <w:kern w:val="24"/>
          <w:sz w:val="32"/>
          <w:szCs w:val="32"/>
        </w:rPr>
      </w:pPr>
      <w:r>
        <w:rPr>
          <w:rFonts w:ascii="Calibri" w:eastAsia="+mj-ea" w:hAnsi="Calibri" w:cs="+mj-cs"/>
          <w:color w:val="262626" w:themeColor="text1" w:themeTint="D9"/>
          <w:kern w:val="24"/>
          <w:sz w:val="32"/>
          <w:szCs w:val="32"/>
        </w:rPr>
        <w:t>-</w:t>
      </w:r>
      <w:r w:rsidRPr="00DA015A">
        <w:rPr>
          <w:rFonts w:ascii="Calibri" w:eastAsia="+mj-ea" w:hAnsi="Calibri" w:cs="+mj-cs"/>
          <w:color w:val="262626" w:themeColor="text1" w:themeTint="D9"/>
          <w:kern w:val="24"/>
          <w:sz w:val="32"/>
          <w:szCs w:val="32"/>
        </w:rPr>
        <w:t>blood in the urine</w:t>
      </w:r>
    </w:p>
    <w:p w14:paraId="0DAD236E" w14:textId="5F0BCC25" w:rsidR="00DA015A" w:rsidRPr="00DA015A" w:rsidRDefault="00DA015A" w:rsidP="00DA015A">
      <w:pPr>
        <w:rPr>
          <w:rFonts w:ascii="Calibri" w:eastAsia="+mj-ea" w:hAnsi="Calibri" w:cs="+mj-cs"/>
          <w:color w:val="262626" w:themeColor="text1" w:themeTint="D9"/>
          <w:kern w:val="24"/>
          <w:sz w:val="32"/>
          <w:szCs w:val="32"/>
        </w:rPr>
      </w:pPr>
      <w:r>
        <w:rPr>
          <w:rFonts w:ascii="Calibri" w:eastAsia="+mj-ea" w:hAnsi="Calibri" w:cs="+mj-cs"/>
          <w:color w:val="262626" w:themeColor="text1" w:themeTint="D9"/>
          <w:kern w:val="24"/>
          <w:sz w:val="32"/>
          <w:szCs w:val="32"/>
        </w:rPr>
        <w:t>-</w:t>
      </w:r>
      <w:r w:rsidRPr="00DA015A">
        <w:rPr>
          <w:rFonts w:ascii="Calibri" w:eastAsia="+mj-ea" w:hAnsi="Calibri" w:cs="+mj-cs"/>
          <w:color w:val="262626" w:themeColor="text1" w:themeTint="D9"/>
          <w:kern w:val="24"/>
          <w:sz w:val="32"/>
          <w:szCs w:val="32"/>
        </w:rPr>
        <w:t>unexplained weight loss</w:t>
      </w:r>
    </w:p>
    <w:p w14:paraId="4634F1D3" w14:textId="62A38540" w:rsidR="00DA015A" w:rsidRPr="00DA015A" w:rsidRDefault="00DA015A" w:rsidP="00DA015A">
      <w:pPr>
        <w:rPr>
          <w:rFonts w:ascii="Calibri" w:eastAsia="+mj-ea" w:hAnsi="Calibri" w:cs="+mj-cs"/>
          <w:color w:val="262626" w:themeColor="text1" w:themeTint="D9"/>
          <w:kern w:val="24"/>
          <w:sz w:val="32"/>
          <w:szCs w:val="32"/>
        </w:rPr>
      </w:pPr>
      <w:r>
        <w:rPr>
          <w:rFonts w:ascii="Calibri" w:eastAsia="+mj-ea" w:hAnsi="Calibri" w:cs="+mj-cs"/>
          <w:color w:val="262626" w:themeColor="text1" w:themeTint="D9"/>
          <w:kern w:val="24"/>
          <w:sz w:val="32"/>
          <w:szCs w:val="32"/>
        </w:rPr>
        <w:t>-</w:t>
      </w:r>
      <w:r w:rsidRPr="00DA015A">
        <w:rPr>
          <w:rFonts w:ascii="Calibri" w:eastAsia="+mj-ea" w:hAnsi="Calibri" w:cs="+mj-cs"/>
          <w:color w:val="262626" w:themeColor="text1" w:themeTint="D9"/>
          <w:kern w:val="24"/>
          <w:sz w:val="32"/>
          <w:szCs w:val="32"/>
        </w:rPr>
        <w:t>loss of appetite</w:t>
      </w:r>
    </w:p>
    <w:p w14:paraId="782E14B3" w14:textId="363BD1FA" w:rsidR="00DA015A" w:rsidRPr="00DA015A" w:rsidRDefault="00DA015A" w:rsidP="00DA015A">
      <w:pPr>
        <w:rPr>
          <w:rFonts w:ascii="Calibri" w:eastAsia="+mj-ea" w:hAnsi="Calibri" w:cs="+mj-cs"/>
          <w:color w:val="262626" w:themeColor="text1" w:themeTint="D9"/>
          <w:kern w:val="24"/>
          <w:sz w:val="32"/>
          <w:szCs w:val="32"/>
        </w:rPr>
      </w:pPr>
      <w:r>
        <w:rPr>
          <w:rFonts w:ascii="Calibri" w:eastAsia="+mj-ea" w:hAnsi="Calibri" w:cs="+mj-cs"/>
          <w:color w:val="262626" w:themeColor="text1" w:themeTint="D9"/>
          <w:kern w:val="24"/>
          <w:sz w:val="32"/>
          <w:szCs w:val="32"/>
        </w:rPr>
        <w:t>-</w:t>
      </w:r>
      <w:r w:rsidRPr="00DA015A">
        <w:rPr>
          <w:rFonts w:ascii="Calibri" w:eastAsia="+mj-ea" w:hAnsi="Calibri" w:cs="+mj-cs"/>
          <w:color w:val="262626" w:themeColor="text1" w:themeTint="D9"/>
          <w:kern w:val="24"/>
          <w:sz w:val="32"/>
          <w:szCs w:val="32"/>
        </w:rPr>
        <w:t>fatigue</w:t>
      </w:r>
    </w:p>
    <w:p w14:paraId="1ADD0A32" w14:textId="2FF3229D" w:rsidR="00DA015A" w:rsidRPr="00DA015A" w:rsidRDefault="00DA015A" w:rsidP="00DA015A">
      <w:pPr>
        <w:rPr>
          <w:rFonts w:ascii="Calibri" w:eastAsia="+mj-ea" w:hAnsi="Calibri" w:cs="+mj-cs"/>
          <w:color w:val="262626" w:themeColor="text1" w:themeTint="D9"/>
          <w:kern w:val="24"/>
          <w:sz w:val="32"/>
          <w:szCs w:val="32"/>
        </w:rPr>
      </w:pPr>
      <w:r>
        <w:rPr>
          <w:rFonts w:ascii="Calibri" w:eastAsia="+mj-ea" w:hAnsi="Calibri" w:cs="+mj-cs"/>
          <w:color w:val="262626" w:themeColor="text1" w:themeTint="D9"/>
          <w:kern w:val="24"/>
          <w:sz w:val="32"/>
          <w:szCs w:val="32"/>
        </w:rPr>
        <w:t>-</w:t>
      </w:r>
      <w:r w:rsidRPr="00DA015A">
        <w:rPr>
          <w:rFonts w:ascii="Calibri" w:eastAsia="+mj-ea" w:hAnsi="Calibri" w:cs="+mj-cs"/>
          <w:color w:val="262626" w:themeColor="text1" w:themeTint="D9"/>
          <w:kern w:val="24"/>
          <w:sz w:val="32"/>
          <w:szCs w:val="32"/>
        </w:rPr>
        <w:t>vision problems</w:t>
      </w:r>
    </w:p>
    <w:p w14:paraId="2CDCDAAF" w14:textId="1D839CC1" w:rsidR="00DA015A" w:rsidRPr="00DA015A" w:rsidRDefault="00DA015A" w:rsidP="00DA015A">
      <w:pPr>
        <w:rPr>
          <w:rFonts w:ascii="Calibri" w:eastAsia="+mj-ea" w:hAnsi="Calibri" w:cs="+mj-cs"/>
          <w:color w:val="262626" w:themeColor="text1" w:themeTint="D9"/>
          <w:kern w:val="24"/>
          <w:sz w:val="32"/>
          <w:szCs w:val="32"/>
        </w:rPr>
      </w:pPr>
      <w:r>
        <w:rPr>
          <w:rFonts w:ascii="Calibri" w:eastAsia="+mj-ea" w:hAnsi="Calibri" w:cs="+mj-cs"/>
          <w:color w:val="262626" w:themeColor="text1" w:themeTint="D9"/>
          <w:kern w:val="24"/>
          <w:sz w:val="32"/>
          <w:szCs w:val="32"/>
        </w:rPr>
        <w:t>-</w:t>
      </w:r>
      <w:r w:rsidRPr="00DA015A">
        <w:rPr>
          <w:rFonts w:ascii="Calibri" w:eastAsia="+mj-ea" w:hAnsi="Calibri" w:cs="+mj-cs"/>
          <w:color w:val="262626" w:themeColor="text1" w:themeTint="D9"/>
          <w:kern w:val="24"/>
          <w:sz w:val="32"/>
          <w:szCs w:val="32"/>
        </w:rPr>
        <w:t>persistent pain in the side</w:t>
      </w:r>
    </w:p>
    <w:p w14:paraId="7217CAA4" w14:textId="5D216909" w:rsidR="005340F0" w:rsidRPr="00DA015A" w:rsidRDefault="00DA015A" w:rsidP="00DA015A">
      <w:pPr>
        <w:jc w:val="both"/>
        <w:rPr>
          <w:rFonts w:ascii="Calibri" w:eastAsia="+mj-ea" w:hAnsi="Calibri" w:cs="+mj-cs"/>
          <w:color w:val="262626" w:themeColor="text1" w:themeTint="D9"/>
          <w:kern w:val="24"/>
          <w:sz w:val="32"/>
          <w:szCs w:val="32"/>
        </w:rPr>
      </w:pPr>
      <w:r>
        <w:rPr>
          <w:rFonts w:ascii="Calibri" w:eastAsia="+mj-ea" w:hAnsi="Calibri" w:cs="+mj-cs"/>
          <w:color w:val="262626" w:themeColor="text1" w:themeTint="D9"/>
          <w:kern w:val="24"/>
          <w:sz w:val="32"/>
          <w:szCs w:val="32"/>
        </w:rPr>
        <w:lastRenderedPageBreak/>
        <w:t>-</w:t>
      </w:r>
      <w:r w:rsidRPr="00DA015A">
        <w:rPr>
          <w:rFonts w:ascii="Calibri" w:eastAsia="+mj-ea" w:hAnsi="Calibri" w:cs="+mj-cs"/>
          <w:color w:val="262626" w:themeColor="text1" w:themeTint="D9"/>
          <w:kern w:val="24"/>
          <w:sz w:val="32"/>
          <w:szCs w:val="32"/>
        </w:rPr>
        <w:t>excessive hair growth (in women)</w:t>
      </w:r>
    </w:p>
    <w:p w14:paraId="35C1E515" w14:textId="0C0526A7" w:rsidR="005340F0" w:rsidRDefault="005340F0" w:rsidP="0037650C">
      <w:pPr>
        <w:jc w:val="both"/>
        <w:rPr>
          <w:rFonts w:ascii="Calibri" w:eastAsia="+mj-ea" w:hAnsi="Calibri" w:cs="+mj-cs"/>
          <w:b/>
          <w:bCs/>
          <w:color w:val="FF0000"/>
          <w:kern w:val="24"/>
          <w:sz w:val="40"/>
          <w:szCs w:val="40"/>
        </w:rPr>
      </w:pPr>
      <w:r w:rsidRPr="005340F0">
        <w:rPr>
          <w:rFonts w:ascii="Calibri" w:eastAsia="+mj-ea" w:hAnsi="Calibri" w:cs="+mj-cs"/>
          <w:b/>
          <w:bCs/>
          <w:color w:val="FF0000"/>
          <w:kern w:val="24"/>
          <w:sz w:val="40"/>
          <w:szCs w:val="40"/>
        </w:rPr>
        <w:t xml:space="preserve">Renal cell cancers are classified </w:t>
      </w:r>
      <w:proofErr w:type="gramStart"/>
      <w:r w:rsidRPr="005340F0">
        <w:rPr>
          <w:rFonts w:ascii="Calibri" w:eastAsia="+mj-ea" w:hAnsi="Calibri" w:cs="+mj-cs"/>
          <w:b/>
          <w:bCs/>
          <w:color w:val="FF0000"/>
          <w:kern w:val="24"/>
          <w:sz w:val="40"/>
          <w:szCs w:val="40"/>
        </w:rPr>
        <w:t>on the basis of</w:t>
      </w:r>
      <w:proofErr w:type="gramEnd"/>
      <w:r w:rsidRPr="005340F0">
        <w:rPr>
          <w:rFonts w:ascii="Calibri" w:eastAsia="+mj-ea" w:hAnsi="Calibri" w:cs="+mj-cs"/>
          <w:b/>
          <w:bCs/>
          <w:color w:val="FF0000"/>
          <w:kern w:val="24"/>
          <w:sz w:val="40"/>
          <w:szCs w:val="40"/>
        </w:rPr>
        <w:t xml:space="preserve"> morphology and growth patterns.</w:t>
      </w:r>
    </w:p>
    <w:p w14:paraId="3CA8963B" w14:textId="4862BBC2" w:rsidR="005340F0" w:rsidRPr="005340F0" w:rsidRDefault="005340F0" w:rsidP="0037650C">
      <w:pPr>
        <w:jc w:val="both"/>
        <w:rPr>
          <w:rFonts w:ascii="Calibri" w:eastAsia="+mj-ea" w:hAnsi="Calibri" w:cs="+mj-cs"/>
          <w:b/>
          <w:bCs/>
          <w:color w:val="000000" w:themeColor="text1"/>
          <w:kern w:val="24"/>
          <w:sz w:val="36"/>
          <w:szCs w:val="36"/>
        </w:rPr>
      </w:pPr>
      <w:r w:rsidRPr="005340F0">
        <w:rPr>
          <w:rFonts w:ascii="Calibri" w:eastAsia="+mj-ea" w:hAnsi="Calibri" w:cs="+mj-cs"/>
          <w:b/>
          <w:bCs/>
          <w:color w:val="000000" w:themeColor="text1"/>
          <w:kern w:val="24"/>
          <w:sz w:val="36"/>
          <w:szCs w:val="36"/>
        </w:rPr>
        <w:t>-Clear Cell Carcinomas</w:t>
      </w:r>
    </w:p>
    <w:p w14:paraId="46C48AED" w14:textId="7670DE82" w:rsidR="0037650C" w:rsidRPr="005340F0" w:rsidRDefault="005340F0" w:rsidP="005340F0">
      <w:pPr>
        <w:jc w:val="both"/>
        <w:rPr>
          <w:rFonts w:ascii="Calibri" w:eastAsia="+mj-ea" w:hAnsi="Calibri" w:cs="+mj-cs"/>
          <w:color w:val="000000" w:themeColor="text1"/>
          <w:kern w:val="24"/>
          <w:sz w:val="32"/>
          <w:szCs w:val="32"/>
        </w:rPr>
      </w:pPr>
      <w:r w:rsidRPr="005340F0">
        <w:rPr>
          <w:rFonts w:ascii="Calibri" w:eastAsia="+mj-ea" w:hAnsi="Calibri" w:cs="+mj-cs"/>
          <w:color w:val="000000" w:themeColor="text1"/>
          <w:kern w:val="24"/>
          <w:sz w:val="32"/>
          <w:szCs w:val="32"/>
        </w:rPr>
        <w:t>Clear cell carcinomas are the most common type, accounting for 65% of renal cell cancers. Histologically, they are composed of cells with clear cytoplasm.</w:t>
      </w:r>
    </w:p>
    <w:p w14:paraId="48E595D1" w14:textId="2AB156CF" w:rsidR="0037650C" w:rsidRDefault="0037650C" w:rsidP="0037650C">
      <w:pPr>
        <w:jc w:val="both"/>
        <w:rPr>
          <w:rFonts w:ascii="Calibri" w:eastAsia="+mj-ea" w:hAnsi="Calibri" w:cs="+mj-cs"/>
          <w:color w:val="000000"/>
          <w:kern w:val="24"/>
          <w:sz w:val="40"/>
          <w:szCs w:val="40"/>
        </w:rPr>
      </w:pPr>
    </w:p>
    <w:p w14:paraId="705BFB8B" w14:textId="50037FC5" w:rsidR="0037650C" w:rsidRDefault="0037650C" w:rsidP="0037650C">
      <w:pPr>
        <w:jc w:val="both"/>
        <w:rPr>
          <w:color w:val="000000" w:themeColor="text1"/>
          <w:sz w:val="32"/>
          <w:szCs w:val="32"/>
        </w:rPr>
      </w:pPr>
      <w:r>
        <w:rPr>
          <w:noProof/>
        </w:rPr>
        <w:drawing>
          <wp:inline distT="0" distB="0" distL="0" distR="0" wp14:anchorId="66C29EAC" wp14:editId="4E4500B1">
            <wp:extent cx="5943600" cy="3800475"/>
            <wp:effectExtent l="0" t="0" r="0" b="952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a:effectLst/>
                  </pic:spPr>
                </pic:pic>
              </a:graphicData>
            </a:graphic>
          </wp:inline>
        </w:drawing>
      </w:r>
    </w:p>
    <w:p w14:paraId="3EEBBF42" w14:textId="77777777" w:rsidR="005340F0" w:rsidRDefault="005340F0" w:rsidP="0037650C">
      <w:pPr>
        <w:jc w:val="both"/>
        <w:rPr>
          <w:color w:val="000000" w:themeColor="text1"/>
          <w:sz w:val="32"/>
          <w:szCs w:val="32"/>
        </w:rPr>
      </w:pPr>
    </w:p>
    <w:p w14:paraId="4892ACD6" w14:textId="547E6A48" w:rsidR="005340F0" w:rsidRDefault="005340F0" w:rsidP="0037650C">
      <w:pPr>
        <w:jc w:val="both"/>
        <w:rPr>
          <w:color w:val="000000" w:themeColor="text1"/>
          <w:sz w:val="32"/>
          <w:szCs w:val="32"/>
        </w:rPr>
      </w:pPr>
    </w:p>
    <w:p w14:paraId="10C020AE" w14:textId="35B2627E" w:rsidR="009F51EA" w:rsidRDefault="009F51EA" w:rsidP="0037650C">
      <w:pPr>
        <w:jc w:val="both"/>
        <w:rPr>
          <w:color w:val="000000" w:themeColor="text1"/>
          <w:sz w:val="32"/>
          <w:szCs w:val="32"/>
        </w:rPr>
      </w:pPr>
    </w:p>
    <w:p w14:paraId="177946DB" w14:textId="229FF330" w:rsidR="009F51EA" w:rsidRDefault="009F51EA" w:rsidP="0037650C">
      <w:pPr>
        <w:jc w:val="both"/>
        <w:rPr>
          <w:color w:val="000000" w:themeColor="text1"/>
          <w:sz w:val="32"/>
          <w:szCs w:val="32"/>
        </w:rPr>
      </w:pPr>
    </w:p>
    <w:p w14:paraId="6D4131AE" w14:textId="791BD7B8" w:rsidR="009F51EA" w:rsidRDefault="009F51EA" w:rsidP="0037650C">
      <w:pPr>
        <w:jc w:val="both"/>
        <w:rPr>
          <w:color w:val="000000" w:themeColor="text1"/>
          <w:sz w:val="32"/>
          <w:szCs w:val="32"/>
        </w:rPr>
      </w:pPr>
    </w:p>
    <w:p w14:paraId="06DFC5E8" w14:textId="348306EE" w:rsidR="005340F0" w:rsidRDefault="003439F1" w:rsidP="00EC112B">
      <w:pPr>
        <w:jc w:val="both"/>
        <w:rPr>
          <w:color w:val="000000" w:themeColor="text1"/>
          <w:sz w:val="32"/>
          <w:szCs w:val="32"/>
        </w:rPr>
      </w:pPr>
      <w:r w:rsidRPr="003439F1">
        <w:rPr>
          <w:noProof/>
        </w:rPr>
        <w:drawing>
          <wp:inline distT="0" distB="0" distL="0" distR="0" wp14:anchorId="21AD9D8C" wp14:editId="0F068175">
            <wp:extent cx="5867400" cy="314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7400" cy="3143250"/>
                    </a:xfrm>
                    <a:prstGeom prst="rect">
                      <a:avLst/>
                    </a:prstGeom>
                  </pic:spPr>
                </pic:pic>
              </a:graphicData>
            </a:graphic>
          </wp:inline>
        </w:drawing>
      </w:r>
    </w:p>
    <w:p w14:paraId="0F30D0DA" w14:textId="3BA4979A" w:rsidR="00EC112B" w:rsidRDefault="003439F1" w:rsidP="00EC112B">
      <w:pPr>
        <w:jc w:val="both"/>
        <w:rPr>
          <w:color w:val="000000" w:themeColor="text1"/>
          <w:sz w:val="32"/>
          <w:szCs w:val="32"/>
        </w:rPr>
      </w:pPr>
      <w:r w:rsidRPr="003439F1">
        <w:rPr>
          <w:color w:val="000000" w:themeColor="text1"/>
          <w:sz w:val="32"/>
          <w:szCs w:val="32"/>
        </w:rPr>
        <w:t>This is the classic clear cell histologic appearance of a renal cell carcinoma: the neoplastic cells have clear cytoplasm and are arranged in nests with intervening blood vessels. This microscopic appearance is why they are often called "clear cell carcinomas". Mutation of the VHL gene may be found.</w:t>
      </w:r>
    </w:p>
    <w:p w14:paraId="3458C09E" w14:textId="4BE246CA" w:rsidR="00FF316C" w:rsidRDefault="00FF316C" w:rsidP="00EC112B">
      <w:pPr>
        <w:jc w:val="both"/>
        <w:rPr>
          <w:color w:val="000000" w:themeColor="text1"/>
          <w:sz w:val="32"/>
          <w:szCs w:val="32"/>
        </w:rPr>
      </w:pPr>
    </w:p>
    <w:p w14:paraId="42C2819C" w14:textId="77777777" w:rsidR="00FF316C" w:rsidRDefault="00FF316C" w:rsidP="00EC112B">
      <w:pPr>
        <w:jc w:val="both"/>
        <w:rPr>
          <w:color w:val="000000" w:themeColor="text1"/>
          <w:sz w:val="32"/>
          <w:szCs w:val="32"/>
        </w:rPr>
      </w:pPr>
    </w:p>
    <w:p w14:paraId="0F94D6EE" w14:textId="5DC870A3" w:rsidR="003439F1" w:rsidRDefault="003439F1" w:rsidP="00EC112B">
      <w:pPr>
        <w:jc w:val="both"/>
        <w:rPr>
          <w:color w:val="000000" w:themeColor="text1"/>
          <w:sz w:val="32"/>
          <w:szCs w:val="32"/>
        </w:rPr>
      </w:pPr>
      <w:r w:rsidRPr="003439F1">
        <w:rPr>
          <w:noProof/>
        </w:rPr>
        <w:lastRenderedPageBreak/>
        <w:drawing>
          <wp:inline distT="0" distB="0" distL="0" distR="0" wp14:anchorId="6D95F81A" wp14:editId="34BAE984">
            <wp:extent cx="5838825" cy="3248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8825" cy="3248025"/>
                    </a:xfrm>
                    <a:prstGeom prst="rect">
                      <a:avLst/>
                    </a:prstGeom>
                  </pic:spPr>
                </pic:pic>
              </a:graphicData>
            </a:graphic>
          </wp:inline>
        </w:drawing>
      </w:r>
    </w:p>
    <w:p w14:paraId="1357479F" w14:textId="3AF3096D" w:rsidR="003439F1" w:rsidRPr="00FF316C" w:rsidRDefault="003439F1" w:rsidP="00FF316C">
      <w:pPr>
        <w:jc w:val="both"/>
        <w:rPr>
          <w:b/>
          <w:bCs/>
          <w:color w:val="000000" w:themeColor="text1"/>
          <w:sz w:val="32"/>
          <w:szCs w:val="32"/>
        </w:rPr>
      </w:pPr>
      <w:r w:rsidRPr="00FF316C">
        <w:rPr>
          <w:b/>
          <w:bCs/>
          <w:color w:val="000000" w:themeColor="text1"/>
          <w:sz w:val="32"/>
          <w:szCs w:val="32"/>
        </w:rPr>
        <w:t xml:space="preserve">solid or trabecular pattern, polygonal cells usually with clear cytoplasm (may be eosinophilic - esp. in high grade </w:t>
      </w:r>
      <w:proofErr w:type="spellStart"/>
      <w:r w:rsidRPr="00FF316C">
        <w:rPr>
          <w:b/>
          <w:bCs/>
          <w:color w:val="000000" w:themeColor="text1"/>
          <w:sz w:val="32"/>
          <w:szCs w:val="32"/>
        </w:rPr>
        <w:t>tumours</w:t>
      </w:r>
      <w:proofErr w:type="spellEnd"/>
      <w:r w:rsidRPr="00FF316C">
        <w:rPr>
          <w:b/>
          <w:bCs/>
          <w:color w:val="000000" w:themeColor="text1"/>
          <w:sz w:val="32"/>
          <w:szCs w:val="32"/>
        </w:rPr>
        <w:t>), central nucleus, delicate branching vasculature (chicken wire-like), +/-hyaline bodies</w:t>
      </w:r>
    </w:p>
    <w:p w14:paraId="5CD81566" w14:textId="77777777" w:rsidR="00EC112B" w:rsidRDefault="00EC112B" w:rsidP="00EC112B">
      <w:pPr>
        <w:jc w:val="both"/>
        <w:rPr>
          <w:color w:val="000000" w:themeColor="text1"/>
          <w:sz w:val="32"/>
          <w:szCs w:val="32"/>
        </w:rPr>
      </w:pPr>
    </w:p>
    <w:p w14:paraId="1F28CA23" w14:textId="3D48E104" w:rsidR="005340F0" w:rsidRPr="005340F0" w:rsidRDefault="005340F0" w:rsidP="0037650C">
      <w:pPr>
        <w:jc w:val="both"/>
        <w:rPr>
          <w:b/>
          <w:bCs/>
          <w:color w:val="000000" w:themeColor="text1"/>
          <w:sz w:val="36"/>
          <w:szCs w:val="36"/>
        </w:rPr>
      </w:pPr>
      <w:r w:rsidRPr="005340F0">
        <w:rPr>
          <w:b/>
          <w:bCs/>
          <w:color w:val="000000" w:themeColor="text1"/>
          <w:sz w:val="36"/>
          <w:szCs w:val="36"/>
        </w:rPr>
        <w:t>-Papillary Renal Cell Carcinomas</w:t>
      </w:r>
    </w:p>
    <w:p w14:paraId="7B08BEA4" w14:textId="24A9CFE8" w:rsidR="005340F0" w:rsidRDefault="00E25E7A" w:rsidP="00E25E7A">
      <w:pPr>
        <w:jc w:val="both"/>
        <w:rPr>
          <w:color w:val="000000" w:themeColor="text1"/>
          <w:sz w:val="32"/>
          <w:szCs w:val="32"/>
        </w:rPr>
      </w:pPr>
      <w:r w:rsidRPr="00E25E7A">
        <w:rPr>
          <w:color w:val="000000" w:themeColor="text1"/>
          <w:sz w:val="32"/>
          <w:szCs w:val="32"/>
        </w:rPr>
        <w:t>Papillary renal cell carcinomas account for 10% to 15% of all renal cancers. As the name indicates, they show a papillary growth pattern. These tumors are frequently multifocal and bilateral and appear as early-stage tumors.</w:t>
      </w:r>
      <w:r w:rsidRPr="00E25E7A">
        <w:t xml:space="preserve"> </w:t>
      </w:r>
      <w:r w:rsidRPr="00E25E7A">
        <w:rPr>
          <w:color w:val="000000" w:themeColor="text1"/>
          <w:sz w:val="32"/>
          <w:szCs w:val="32"/>
        </w:rPr>
        <w:t>Like clear cell carcinomas, they occur in familial and sporadic forms, but unlike these tumors, papillary renal cancers are not associated with abnormalities of chromosome 3</w:t>
      </w:r>
    </w:p>
    <w:p w14:paraId="2199B82C" w14:textId="6F62A182" w:rsidR="0081173B" w:rsidRDefault="0081173B" w:rsidP="00E25E7A">
      <w:pPr>
        <w:jc w:val="both"/>
        <w:rPr>
          <w:color w:val="000000" w:themeColor="text1"/>
          <w:sz w:val="32"/>
          <w:szCs w:val="32"/>
        </w:rPr>
      </w:pPr>
      <w:r w:rsidRPr="0081173B">
        <w:rPr>
          <w:color w:val="000000" w:themeColor="text1"/>
          <w:sz w:val="32"/>
          <w:szCs w:val="32"/>
        </w:rPr>
        <w:t>Papillary renal cell carcinoma (PRCC) is a malignant, heterogeneous tumor originating from renal tubular epithelial cells of the kidney, which comprises approximately 10-15% of all kidney neoplasms.[1] Based on its morphological features, PRCC can be classified into two main subtypes, which are type 1 (basophilic) and type 2 (eosinophilic)</w:t>
      </w:r>
    </w:p>
    <w:p w14:paraId="13E08DBE" w14:textId="77777777" w:rsidR="00C9289E" w:rsidRPr="00C9289E" w:rsidRDefault="00C9289E" w:rsidP="00C9289E">
      <w:pPr>
        <w:rPr>
          <w:b/>
          <w:bCs/>
          <w:color w:val="000000" w:themeColor="text1"/>
          <w:sz w:val="32"/>
          <w:szCs w:val="32"/>
        </w:rPr>
      </w:pPr>
      <w:r w:rsidRPr="00C9289E">
        <w:rPr>
          <w:b/>
          <w:bCs/>
          <w:color w:val="000000" w:themeColor="text1"/>
          <w:sz w:val="32"/>
          <w:szCs w:val="32"/>
        </w:rPr>
        <w:lastRenderedPageBreak/>
        <w:t>Histology:</w:t>
      </w:r>
    </w:p>
    <w:p w14:paraId="28AA7C21" w14:textId="2405BDA3" w:rsidR="00C9289E" w:rsidRPr="00C9289E" w:rsidRDefault="00C9289E" w:rsidP="00C9289E">
      <w:pPr>
        <w:rPr>
          <w:color w:val="000000" w:themeColor="text1"/>
          <w:sz w:val="32"/>
          <w:szCs w:val="32"/>
        </w:rPr>
      </w:pPr>
      <w:r>
        <w:rPr>
          <w:color w:val="000000" w:themeColor="text1"/>
          <w:sz w:val="32"/>
          <w:szCs w:val="32"/>
        </w:rPr>
        <w:t>-</w:t>
      </w:r>
      <w:r w:rsidRPr="00C9289E">
        <w:rPr>
          <w:color w:val="000000" w:themeColor="text1"/>
          <w:sz w:val="32"/>
          <w:szCs w:val="32"/>
        </w:rPr>
        <w:t>Characterized by papillae with central fibrovascular core (true papillae) containing foamy histiocytes lined by single layer of cells (image B).</w:t>
      </w:r>
    </w:p>
    <w:p w14:paraId="2F68CA1E" w14:textId="0B48DA41" w:rsidR="00C9289E" w:rsidRPr="00C9289E" w:rsidRDefault="00C9289E" w:rsidP="00C9289E">
      <w:pPr>
        <w:rPr>
          <w:color w:val="000000" w:themeColor="text1"/>
          <w:sz w:val="32"/>
          <w:szCs w:val="32"/>
        </w:rPr>
      </w:pPr>
      <w:r>
        <w:rPr>
          <w:color w:val="000000" w:themeColor="text1"/>
          <w:sz w:val="32"/>
          <w:szCs w:val="32"/>
        </w:rPr>
        <w:t>-</w:t>
      </w:r>
      <w:r w:rsidRPr="00C9289E">
        <w:rPr>
          <w:color w:val="000000" w:themeColor="text1"/>
          <w:sz w:val="32"/>
          <w:szCs w:val="32"/>
        </w:rPr>
        <w:t>Tumor cells have either basophilic cytoplasm (type 1) (image C) or abundant eosinophilic (type 2) cytoplasm (image D).</w:t>
      </w:r>
    </w:p>
    <w:p w14:paraId="621EA95A" w14:textId="04E9A065" w:rsidR="00C9289E" w:rsidRPr="00C9289E" w:rsidRDefault="00C9289E" w:rsidP="00C9289E">
      <w:pPr>
        <w:rPr>
          <w:color w:val="000000" w:themeColor="text1"/>
          <w:sz w:val="32"/>
          <w:szCs w:val="32"/>
        </w:rPr>
      </w:pPr>
      <w:r>
        <w:rPr>
          <w:color w:val="000000" w:themeColor="text1"/>
          <w:sz w:val="32"/>
          <w:szCs w:val="32"/>
        </w:rPr>
        <w:t>-</w:t>
      </w:r>
      <w:r w:rsidRPr="00C9289E">
        <w:rPr>
          <w:color w:val="000000" w:themeColor="text1"/>
          <w:sz w:val="32"/>
          <w:szCs w:val="32"/>
        </w:rPr>
        <w:t>Nuclei are round, small, with low-grade appearance.</w:t>
      </w:r>
    </w:p>
    <w:p w14:paraId="1485EBA5" w14:textId="4DEFB0DE" w:rsidR="00C9289E" w:rsidRDefault="00C9289E" w:rsidP="00C9289E">
      <w:pPr>
        <w:jc w:val="both"/>
        <w:rPr>
          <w:color w:val="000000" w:themeColor="text1"/>
          <w:sz w:val="32"/>
          <w:szCs w:val="32"/>
        </w:rPr>
      </w:pPr>
      <w:r>
        <w:rPr>
          <w:color w:val="000000" w:themeColor="text1"/>
          <w:sz w:val="32"/>
          <w:szCs w:val="32"/>
        </w:rPr>
        <w:t>-</w:t>
      </w:r>
      <w:r w:rsidRPr="00C9289E">
        <w:rPr>
          <w:color w:val="000000" w:themeColor="text1"/>
          <w:sz w:val="32"/>
          <w:szCs w:val="32"/>
        </w:rPr>
        <w:t>~1/2 of tumors may have solid (non-papillary) growth consisting of tubules and "</w:t>
      </w:r>
      <w:proofErr w:type="spellStart"/>
      <w:r w:rsidRPr="00C9289E">
        <w:rPr>
          <w:color w:val="000000" w:themeColor="text1"/>
          <w:sz w:val="32"/>
          <w:szCs w:val="32"/>
        </w:rPr>
        <w:t>glomeruloid</w:t>
      </w:r>
      <w:proofErr w:type="spellEnd"/>
      <w:r w:rsidRPr="00C9289E">
        <w:rPr>
          <w:color w:val="000000" w:themeColor="text1"/>
          <w:sz w:val="32"/>
          <w:szCs w:val="32"/>
        </w:rPr>
        <w:t>" growth.</w:t>
      </w:r>
    </w:p>
    <w:p w14:paraId="578D8AC6" w14:textId="77777777" w:rsidR="00C9289E" w:rsidRDefault="00C9289E" w:rsidP="00E25E7A">
      <w:pPr>
        <w:jc w:val="both"/>
        <w:rPr>
          <w:color w:val="000000" w:themeColor="text1"/>
          <w:sz w:val="32"/>
          <w:szCs w:val="32"/>
        </w:rPr>
      </w:pPr>
    </w:p>
    <w:p w14:paraId="09E25B0E" w14:textId="2952E963" w:rsidR="00C1394E" w:rsidRDefault="00C9289E" w:rsidP="00E25E7A">
      <w:pPr>
        <w:jc w:val="both"/>
        <w:rPr>
          <w:color w:val="000000" w:themeColor="text1"/>
          <w:sz w:val="32"/>
          <w:szCs w:val="32"/>
        </w:rPr>
      </w:pPr>
      <w:r w:rsidRPr="00C9289E">
        <w:rPr>
          <w:noProof/>
        </w:rPr>
        <w:drawing>
          <wp:inline distT="0" distB="0" distL="0" distR="0" wp14:anchorId="6CD05494" wp14:editId="5BAD1B68">
            <wp:extent cx="5943600" cy="3476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76625"/>
                    </a:xfrm>
                    <a:prstGeom prst="rect">
                      <a:avLst/>
                    </a:prstGeom>
                  </pic:spPr>
                </pic:pic>
              </a:graphicData>
            </a:graphic>
          </wp:inline>
        </w:drawing>
      </w:r>
    </w:p>
    <w:p w14:paraId="27DC8269" w14:textId="0D9E01AC" w:rsidR="00C1394E" w:rsidRDefault="00C1394E" w:rsidP="00E25E7A">
      <w:pPr>
        <w:jc w:val="both"/>
        <w:rPr>
          <w:color w:val="000000" w:themeColor="text1"/>
          <w:sz w:val="32"/>
          <w:szCs w:val="32"/>
        </w:rPr>
      </w:pPr>
      <w:r w:rsidRPr="00C1394E">
        <w:rPr>
          <w:color w:val="000000" w:themeColor="text1"/>
          <w:sz w:val="32"/>
          <w:szCs w:val="32"/>
        </w:rPr>
        <w:t xml:space="preserve">Histopathology of papillary renal cell carcinoma type 1, </w:t>
      </w:r>
      <w:proofErr w:type="spellStart"/>
      <w:r w:rsidRPr="00C1394E">
        <w:rPr>
          <w:color w:val="000000" w:themeColor="text1"/>
          <w:sz w:val="32"/>
          <w:szCs w:val="32"/>
        </w:rPr>
        <w:t>characterised</w:t>
      </w:r>
      <w:proofErr w:type="spellEnd"/>
      <w:r w:rsidRPr="00C1394E">
        <w:rPr>
          <w:color w:val="000000" w:themeColor="text1"/>
          <w:sz w:val="32"/>
          <w:szCs w:val="32"/>
        </w:rPr>
        <w:t xml:space="preserve"> by </w:t>
      </w:r>
      <w:proofErr w:type="spellStart"/>
      <w:r w:rsidRPr="00C1394E">
        <w:rPr>
          <w:color w:val="000000" w:themeColor="text1"/>
          <w:sz w:val="32"/>
          <w:szCs w:val="32"/>
        </w:rPr>
        <w:t>tubulopapillary</w:t>
      </w:r>
      <w:proofErr w:type="spellEnd"/>
      <w:r w:rsidRPr="00C1394E">
        <w:rPr>
          <w:color w:val="000000" w:themeColor="text1"/>
          <w:sz w:val="32"/>
          <w:szCs w:val="32"/>
        </w:rPr>
        <w:t xml:space="preserve"> architecture with admixed foamy histiocytes in the papillary </w:t>
      </w:r>
      <w:proofErr w:type="gramStart"/>
      <w:r w:rsidRPr="00C1394E">
        <w:rPr>
          <w:color w:val="000000" w:themeColor="text1"/>
          <w:sz w:val="32"/>
          <w:szCs w:val="32"/>
        </w:rPr>
        <w:t xml:space="preserve">cores </w:t>
      </w:r>
      <w:r>
        <w:rPr>
          <w:color w:val="000000" w:themeColor="text1"/>
          <w:sz w:val="32"/>
          <w:szCs w:val="32"/>
        </w:rPr>
        <w:t>.</w:t>
      </w:r>
      <w:proofErr w:type="gramEnd"/>
    </w:p>
    <w:p w14:paraId="03CD73A1" w14:textId="400447E1" w:rsidR="0081173B" w:rsidRPr="0081173B" w:rsidRDefault="00C9289E" w:rsidP="00E25E7A">
      <w:pPr>
        <w:jc w:val="both"/>
        <w:rPr>
          <w:b/>
          <w:bCs/>
          <w:color w:val="000000" w:themeColor="text1"/>
          <w:sz w:val="32"/>
          <w:szCs w:val="32"/>
        </w:rPr>
      </w:pPr>
      <w:r w:rsidRPr="00C9289E">
        <w:rPr>
          <w:noProof/>
        </w:rPr>
        <w:lastRenderedPageBreak/>
        <w:drawing>
          <wp:inline distT="0" distB="0" distL="0" distR="0" wp14:anchorId="7F4647F8" wp14:editId="5BE5FCD5">
            <wp:extent cx="5943600" cy="373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33800"/>
                    </a:xfrm>
                    <a:prstGeom prst="rect">
                      <a:avLst/>
                    </a:prstGeom>
                  </pic:spPr>
                </pic:pic>
              </a:graphicData>
            </a:graphic>
          </wp:inline>
        </w:drawing>
      </w:r>
    </w:p>
    <w:p w14:paraId="68A6550C" w14:textId="77777777" w:rsidR="00EF2355" w:rsidRDefault="00EF2355" w:rsidP="00E25E7A">
      <w:pPr>
        <w:rPr>
          <w:b/>
          <w:bCs/>
          <w:color w:val="000000" w:themeColor="text1"/>
          <w:sz w:val="36"/>
          <w:szCs w:val="36"/>
        </w:rPr>
      </w:pPr>
    </w:p>
    <w:p w14:paraId="02A31051" w14:textId="77777777" w:rsidR="00EF2355" w:rsidRDefault="00EF2355" w:rsidP="00E25E7A">
      <w:pPr>
        <w:rPr>
          <w:b/>
          <w:bCs/>
          <w:color w:val="000000" w:themeColor="text1"/>
          <w:sz w:val="36"/>
          <w:szCs w:val="36"/>
        </w:rPr>
      </w:pPr>
    </w:p>
    <w:p w14:paraId="2E1D3EAA" w14:textId="5019A385" w:rsidR="00E25E7A" w:rsidRPr="00E25E7A" w:rsidRDefault="00E25E7A" w:rsidP="00E25E7A">
      <w:pPr>
        <w:rPr>
          <w:b/>
          <w:bCs/>
          <w:color w:val="000000" w:themeColor="text1"/>
          <w:sz w:val="36"/>
          <w:szCs w:val="36"/>
        </w:rPr>
      </w:pPr>
      <w:r w:rsidRPr="00E25E7A">
        <w:rPr>
          <w:b/>
          <w:bCs/>
          <w:color w:val="000000" w:themeColor="text1"/>
          <w:sz w:val="36"/>
          <w:szCs w:val="36"/>
        </w:rPr>
        <w:t>-Chromophobe Renal Carcinomas</w:t>
      </w:r>
    </w:p>
    <w:p w14:paraId="0A3D00B9" w14:textId="658417A9" w:rsidR="00E25E7A" w:rsidRDefault="00E25E7A" w:rsidP="00E25E7A">
      <w:pPr>
        <w:jc w:val="both"/>
        <w:rPr>
          <w:sz w:val="32"/>
          <w:szCs w:val="32"/>
        </w:rPr>
      </w:pPr>
      <w:r w:rsidRPr="00E25E7A">
        <w:rPr>
          <w:color w:val="000000" w:themeColor="text1"/>
          <w:sz w:val="32"/>
          <w:szCs w:val="32"/>
        </w:rPr>
        <w:t xml:space="preserve">Chromophobe renal carcinomas are the least common, representing 5% of all renal cell carcinomas. They arise from intercalated cells of collecting ducts. Their name derives from the observation that the tumor </w:t>
      </w:r>
      <w:r w:rsidRPr="00E25E7A">
        <w:rPr>
          <w:sz w:val="32"/>
          <w:szCs w:val="32"/>
        </w:rPr>
        <w:t>cells stain more darkly (i.e., they are less clear) than cells in clear cell carcinomas.</w:t>
      </w:r>
    </w:p>
    <w:p w14:paraId="0C740868" w14:textId="77777777" w:rsidR="00C61592" w:rsidRPr="00C61592" w:rsidRDefault="00C61592" w:rsidP="00C61592">
      <w:pPr>
        <w:rPr>
          <w:b/>
          <w:bCs/>
          <w:color w:val="000000" w:themeColor="text1"/>
          <w:sz w:val="32"/>
          <w:szCs w:val="32"/>
        </w:rPr>
      </w:pPr>
      <w:r w:rsidRPr="00C61592">
        <w:rPr>
          <w:b/>
          <w:bCs/>
          <w:color w:val="000000" w:themeColor="text1"/>
          <w:sz w:val="32"/>
          <w:szCs w:val="32"/>
        </w:rPr>
        <w:t>Microscopic (histologic) description</w:t>
      </w:r>
    </w:p>
    <w:p w14:paraId="5A732903" w14:textId="77777777" w:rsidR="00C61592" w:rsidRPr="00C61592" w:rsidRDefault="00C61592" w:rsidP="00C61592">
      <w:pPr>
        <w:rPr>
          <w:color w:val="000000" w:themeColor="text1"/>
          <w:sz w:val="32"/>
          <w:szCs w:val="32"/>
        </w:rPr>
      </w:pPr>
      <w:r w:rsidRPr="00C61592">
        <w:rPr>
          <w:color w:val="000000" w:themeColor="text1"/>
          <w:sz w:val="32"/>
          <w:szCs w:val="32"/>
        </w:rPr>
        <w:t xml:space="preserve">Large tumor cells with fine eosinophilic granularity, peripheral accentuation of cytoplasm, perinuclear halo, wrinkled </w:t>
      </w:r>
      <w:proofErr w:type="spellStart"/>
      <w:r w:rsidRPr="00C61592">
        <w:rPr>
          <w:color w:val="000000" w:themeColor="text1"/>
          <w:sz w:val="32"/>
          <w:szCs w:val="32"/>
        </w:rPr>
        <w:t>raisinoid</w:t>
      </w:r>
      <w:proofErr w:type="spellEnd"/>
      <w:r w:rsidRPr="00C61592">
        <w:rPr>
          <w:color w:val="000000" w:themeColor="text1"/>
          <w:sz w:val="32"/>
          <w:szCs w:val="32"/>
        </w:rPr>
        <w:t xml:space="preserve"> nuclei, frequent binucleation and coarse chromatin (resembles </w:t>
      </w:r>
      <w:proofErr w:type="spellStart"/>
      <w:r w:rsidRPr="00C61592">
        <w:rPr>
          <w:color w:val="000000" w:themeColor="text1"/>
          <w:sz w:val="32"/>
          <w:szCs w:val="32"/>
        </w:rPr>
        <w:t>koilocytes</w:t>
      </w:r>
      <w:proofErr w:type="spellEnd"/>
      <w:r w:rsidRPr="00C61592">
        <w:rPr>
          <w:color w:val="000000" w:themeColor="text1"/>
          <w:sz w:val="32"/>
          <w:szCs w:val="32"/>
        </w:rPr>
        <w:t>); still some classic chromophobe cells</w:t>
      </w:r>
    </w:p>
    <w:p w14:paraId="178C8BAF" w14:textId="0DA073B9" w:rsidR="00C61592" w:rsidRDefault="00C61592" w:rsidP="00C61592">
      <w:pPr>
        <w:jc w:val="both"/>
        <w:rPr>
          <w:color w:val="000000" w:themeColor="text1"/>
          <w:sz w:val="32"/>
          <w:szCs w:val="32"/>
        </w:rPr>
      </w:pPr>
      <w:r w:rsidRPr="00C61592">
        <w:rPr>
          <w:color w:val="000000" w:themeColor="text1"/>
          <w:sz w:val="32"/>
          <w:szCs w:val="32"/>
        </w:rPr>
        <w:lastRenderedPageBreak/>
        <w:t>Often focal areas resembling oncocytoma</w:t>
      </w:r>
    </w:p>
    <w:p w14:paraId="31499A29" w14:textId="61AC62BA" w:rsidR="0037650C" w:rsidRDefault="005435EA" w:rsidP="005435EA">
      <w:pPr>
        <w:jc w:val="both"/>
        <w:rPr>
          <w:color w:val="000000" w:themeColor="text1"/>
          <w:sz w:val="32"/>
          <w:szCs w:val="32"/>
        </w:rPr>
      </w:pPr>
      <w:r w:rsidRPr="005435EA">
        <w:rPr>
          <w:noProof/>
        </w:rPr>
        <w:drawing>
          <wp:inline distT="0" distB="0" distL="0" distR="0" wp14:anchorId="2DFE294A" wp14:editId="2BE7FF5B">
            <wp:extent cx="5943600" cy="3959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59860"/>
                    </a:xfrm>
                    <a:prstGeom prst="rect">
                      <a:avLst/>
                    </a:prstGeom>
                  </pic:spPr>
                </pic:pic>
              </a:graphicData>
            </a:graphic>
          </wp:inline>
        </w:drawing>
      </w:r>
    </w:p>
    <w:p w14:paraId="5DB95AF7" w14:textId="6F760FA4" w:rsidR="0037650C" w:rsidRDefault="0037650C" w:rsidP="0037650C">
      <w:pPr>
        <w:jc w:val="both"/>
        <w:rPr>
          <w:rFonts w:ascii="Calibri" w:eastAsia="+mj-ea" w:hAnsi="Calibri" w:cs="+mj-cs"/>
          <w:b/>
          <w:bCs/>
          <w:color w:val="FF0000"/>
          <w:kern w:val="24"/>
          <w:sz w:val="32"/>
          <w:szCs w:val="32"/>
        </w:rPr>
      </w:pPr>
      <w:proofErr w:type="gramStart"/>
      <w:r>
        <w:rPr>
          <w:rFonts w:ascii="Calibri" w:eastAsia="+mj-ea" w:hAnsi="Calibri" w:cs="+mj-cs"/>
          <w:b/>
          <w:bCs/>
          <w:color w:val="FF0000"/>
          <w:kern w:val="24"/>
          <w:sz w:val="32"/>
          <w:szCs w:val="32"/>
        </w:rPr>
        <w:t>Microscopically  :</w:t>
      </w:r>
      <w:proofErr w:type="gramEnd"/>
      <w:r>
        <w:rPr>
          <w:rFonts w:ascii="Calibri" w:eastAsia="+mj-ea" w:hAnsi="Calibri" w:cs="+mj-cs"/>
          <w:b/>
          <w:bCs/>
          <w:color w:val="FF0000"/>
          <w:kern w:val="24"/>
          <w:sz w:val="32"/>
          <w:szCs w:val="32"/>
        </w:rPr>
        <w:t xml:space="preserve"> The </w:t>
      </w:r>
      <w:proofErr w:type="spellStart"/>
      <w:r>
        <w:rPr>
          <w:rFonts w:ascii="Calibri" w:eastAsia="+mj-ea" w:hAnsi="Calibri" w:cs="+mj-cs"/>
          <w:b/>
          <w:bCs/>
          <w:color w:val="FF0000"/>
          <w:kern w:val="24"/>
          <w:sz w:val="32"/>
          <w:szCs w:val="32"/>
        </w:rPr>
        <w:t>tumour</w:t>
      </w:r>
      <w:proofErr w:type="spellEnd"/>
      <w:r>
        <w:rPr>
          <w:rFonts w:ascii="Calibri" w:eastAsia="+mj-ea" w:hAnsi="Calibri" w:cs="+mj-cs"/>
          <w:b/>
          <w:bCs/>
          <w:color w:val="FF0000"/>
          <w:kern w:val="24"/>
          <w:sz w:val="32"/>
          <w:szCs w:val="32"/>
        </w:rPr>
        <w:t xml:space="preserve"> shows solid masses and acini of uniform-appearing </w:t>
      </w:r>
      <w:r w:rsidR="006329EC">
        <w:rPr>
          <w:rFonts w:ascii="Calibri" w:eastAsia="+mj-ea" w:hAnsi="Calibri" w:cs="+mj-cs"/>
          <w:b/>
          <w:bCs/>
          <w:color w:val="FF0000"/>
          <w:kern w:val="24"/>
          <w:sz w:val="32"/>
          <w:szCs w:val="32"/>
        </w:rPr>
        <w:t>tumors</w:t>
      </w:r>
      <w:r>
        <w:rPr>
          <w:rFonts w:ascii="Calibri" w:eastAsia="+mj-ea" w:hAnsi="Calibri" w:cs="+mj-cs"/>
          <w:b/>
          <w:bCs/>
          <w:color w:val="FF0000"/>
          <w:kern w:val="24"/>
          <w:sz w:val="32"/>
          <w:szCs w:val="32"/>
        </w:rPr>
        <w:t xml:space="preserve"> cells </w:t>
      </w:r>
      <w:r>
        <w:rPr>
          <w:rFonts w:ascii="Calibri" w:eastAsia="+mj-ea" w:hAnsi="Calibri" w:cs="+mj-cs"/>
          <w:b/>
          <w:bCs/>
          <w:color w:val="000000"/>
          <w:kern w:val="24"/>
          <w:sz w:val="32"/>
          <w:szCs w:val="32"/>
        </w:rPr>
        <w:t xml:space="preserve">the </w:t>
      </w:r>
      <w:r w:rsidR="006329EC">
        <w:rPr>
          <w:rFonts w:ascii="Calibri" w:eastAsia="+mj-ea" w:hAnsi="Calibri" w:cs="+mj-cs"/>
          <w:b/>
          <w:bCs/>
          <w:color w:val="000000"/>
          <w:kern w:val="24"/>
          <w:sz w:val="32"/>
          <w:szCs w:val="32"/>
        </w:rPr>
        <w:t>tumors</w:t>
      </w:r>
      <w:r>
        <w:rPr>
          <w:rFonts w:ascii="Calibri" w:eastAsia="+mj-ea" w:hAnsi="Calibri" w:cs="+mj-cs"/>
          <w:b/>
          <w:bCs/>
          <w:color w:val="000000"/>
          <w:kern w:val="24"/>
          <w:sz w:val="32"/>
          <w:szCs w:val="32"/>
        </w:rPr>
        <w:t xml:space="preserve"> cells are plump with </w:t>
      </w:r>
      <w:proofErr w:type="spellStart"/>
      <w:r>
        <w:rPr>
          <w:rFonts w:ascii="Calibri" w:eastAsia="+mj-ea" w:hAnsi="Calibri" w:cs="+mj-cs"/>
          <w:b/>
          <w:bCs/>
          <w:color w:val="000000"/>
          <w:kern w:val="24"/>
          <w:sz w:val="32"/>
          <w:szCs w:val="32"/>
        </w:rPr>
        <w:t>abundant,nely</w:t>
      </w:r>
      <w:proofErr w:type="spellEnd"/>
      <w:r>
        <w:rPr>
          <w:rFonts w:ascii="Calibri" w:eastAsia="+mj-ea" w:hAnsi="Calibri" w:cs="+mj-cs"/>
          <w:b/>
          <w:bCs/>
          <w:color w:val="000000"/>
          <w:kern w:val="24"/>
          <w:sz w:val="32"/>
          <w:szCs w:val="32"/>
        </w:rPr>
        <w:t xml:space="preserve"> granular, acidophilic cytoplasm and round nuclei. the cysts are lined by tubular epithelium while the stroma between the cysts contains mesenchymal tissue with some immature blastemal or abortive tubules</w:t>
      </w:r>
      <w:r>
        <w:rPr>
          <w:rFonts w:ascii="Calibri" w:eastAsia="+mj-ea" w:hAnsi="Calibri" w:cs="+mj-cs"/>
          <w:b/>
          <w:bCs/>
          <w:color w:val="000000"/>
          <w:kern w:val="24"/>
          <w:sz w:val="32"/>
          <w:szCs w:val="32"/>
        </w:rPr>
        <w:br/>
      </w:r>
      <w:proofErr w:type="gramStart"/>
      <w:r>
        <w:rPr>
          <w:rFonts w:ascii="Calibri" w:eastAsia="+mj-ea" w:hAnsi="Calibri" w:cs="+mj-cs"/>
          <w:b/>
          <w:bCs/>
          <w:color w:val="FF0000"/>
          <w:kern w:val="24"/>
          <w:sz w:val="32"/>
          <w:szCs w:val="32"/>
        </w:rPr>
        <w:t>diagnosis :</w:t>
      </w:r>
      <w:proofErr w:type="gramEnd"/>
      <w:r>
        <w:rPr>
          <w:rFonts w:ascii="Calibri" w:eastAsia="+mj-ea" w:hAnsi="Calibri" w:cs="+mj-cs"/>
          <w:b/>
          <w:bCs/>
          <w:color w:val="FF0000"/>
          <w:kern w:val="24"/>
          <w:sz w:val="32"/>
          <w:szCs w:val="32"/>
        </w:rPr>
        <w:t xml:space="preserve"> kidney carcinoma</w:t>
      </w:r>
    </w:p>
    <w:p w14:paraId="25BD8AEB" w14:textId="7A593606" w:rsidR="0037650C" w:rsidRDefault="0037650C" w:rsidP="0037650C">
      <w:pPr>
        <w:jc w:val="both"/>
        <w:rPr>
          <w:color w:val="000000" w:themeColor="text1"/>
          <w:sz w:val="32"/>
          <w:szCs w:val="32"/>
        </w:rPr>
      </w:pPr>
      <w:r>
        <w:rPr>
          <w:noProof/>
        </w:rPr>
        <w:lastRenderedPageBreak/>
        <w:drawing>
          <wp:inline distT="0" distB="0" distL="0" distR="0" wp14:anchorId="2CEB9C1D" wp14:editId="2DF9F3F9">
            <wp:extent cx="5943600" cy="4324350"/>
            <wp:effectExtent l="0" t="0" r="0" b="0"/>
            <wp:docPr id="5122" name="Picture 2" descr="Image result for renal cell carcinoma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renal cell carcinoma histolog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pic:spPr>
                </pic:pic>
              </a:graphicData>
            </a:graphic>
          </wp:inline>
        </w:drawing>
      </w:r>
    </w:p>
    <w:p w14:paraId="2015E156" w14:textId="1133DDE8" w:rsidR="0064266D" w:rsidRPr="0064266D" w:rsidRDefault="0037650C" w:rsidP="0064266D">
      <w:pPr>
        <w:jc w:val="both"/>
        <w:rPr>
          <w:rFonts w:ascii="Calibri" w:eastAsia="+mj-ea" w:hAnsi="Calibri" w:cs="+mj-cs"/>
          <w:b/>
          <w:bCs/>
          <w:color w:val="FF0000"/>
          <w:kern w:val="24"/>
          <w:sz w:val="32"/>
          <w:szCs w:val="32"/>
        </w:rPr>
      </w:pPr>
      <w:proofErr w:type="gramStart"/>
      <w:r w:rsidRPr="0064266D">
        <w:rPr>
          <w:rFonts w:ascii="Calibri" w:eastAsia="+mj-ea" w:hAnsi="Calibri" w:cs="+mj-cs"/>
          <w:b/>
          <w:bCs/>
          <w:color w:val="FF0000"/>
          <w:kern w:val="24"/>
          <w:sz w:val="32"/>
          <w:szCs w:val="32"/>
        </w:rPr>
        <w:t>Microscopically  :</w:t>
      </w:r>
      <w:proofErr w:type="gramEnd"/>
      <w:r w:rsidRPr="0064266D">
        <w:rPr>
          <w:rFonts w:ascii="Calibri" w:eastAsia="+mj-ea" w:hAnsi="Calibri" w:cs="+mj-cs"/>
          <w:b/>
          <w:bCs/>
          <w:color w:val="FF0000"/>
          <w:kern w:val="24"/>
          <w:sz w:val="32"/>
          <w:szCs w:val="32"/>
        </w:rPr>
        <w:t xml:space="preserve"> The </w:t>
      </w:r>
      <w:proofErr w:type="spellStart"/>
      <w:r w:rsidRPr="0064266D">
        <w:rPr>
          <w:rFonts w:ascii="Calibri" w:eastAsia="+mj-ea" w:hAnsi="Calibri" w:cs="+mj-cs"/>
          <w:b/>
          <w:bCs/>
          <w:color w:val="FF0000"/>
          <w:kern w:val="24"/>
          <w:sz w:val="32"/>
          <w:szCs w:val="32"/>
        </w:rPr>
        <w:t>tumour</w:t>
      </w:r>
      <w:proofErr w:type="spellEnd"/>
      <w:r w:rsidRPr="0064266D">
        <w:rPr>
          <w:rFonts w:ascii="Calibri" w:eastAsia="+mj-ea" w:hAnsi="Calibri" w:cs="+mj-cs"/>
          <w:b/>
          <w:bCs/>
          <w:color w:val="FF0000"/>
          <w:kern w:val="24"/>
          <w:sz w:val="32"/>
          <w:szCs w:val="32"/>
        </w:rPr>
        <w:t xml:space="preserve"> shows solid masses and acini of uniform-appearing </w:t>
      </w:r>
      <w:proofErr w:type="spellStart"/>
      <w:r w:rsidRPr="0064266D">
        <w:rPr>
          <w:rFonts w:ascii="Calibri" w:eastAsia="+mj-ea" w:hAnsi="Calibri" w:cs="+mj-cs"/>
          <w:b/>
          <w:bCs/>
          <w:color w:val="FF0000"/>
          <w:kern w:val="24"/>
          <w:sz w:val="32"/>
          <w:szCs w:val="32"/>
        </w:rPr>
        <w:t>tumour</w:t>
      </w:r>
      <w:proofErr w:type="spellEnd"/>
      <w:r w:rsidRPr="0064266D">
        <w:rPr>
          <w:rFonts w:ascii="Calibri" w:eastAsia="+mj-ea" w:hAnsi="Calibri" w:cs="+mj-cs"/>
          <w:b/>
          <w:bCs/>
          <w:color w:val="FF0000"/>
          <w:kern w:val="24"/>
          <w:sz w:val="32"/>
          <w:szCs w:val="32"/>
        </w:rPr>
        <w:t xml:space="preserve"> cells , </w:t>
      </w:r>
      <w:r w:rsidRPr="0064266D">
        <w:rPr>
          <w:rFonts w:ascii="Calibri" w:eastAsia="+mj-ea" w:hAnsi="Calibri" w:cs="+mj-cs"/>
          <w:b/>
          <w:bCs/>
          <w:color w:val="000000"/>
          <w:kern w:val="24"/>
          <w:sz w:val="32"/>
          <w:szCs w:val="32"/>
        </w:rPr>
        <w:t xml:space="preserve">the </w:t>
      </w:r>
      <w:proofErr w:type="spellStart"/>
      <w:r w:rsidRPr="0064266D">
        <w:rPr>
          <w:rFonts w:ascii="Calibri" w:eastAsia="+mj-ea" w:hAnsi="Calibri" w:cs="+mj-cs"/>
          <w:b/>
          <w:bCs/>
          <w:color w:val="000000"/>
          <w:kern w:val="24"/>
          <w:sz w:val="32"/>
          <w:szCs w:val="32"/>
        </w:rPr>
        <w:t>tumour</w:t>
      </w:r>
      <w:proofErr w:type="spellEnd"/>
      <w:r w:rsidRPr="0064266D">
        <w:rPr>
          <w:rFonts w:ascii="Calibri" w:eastAsia="+mj-ea" w:hAnsi="Calibri" w:cs="+mj-cs"/>
          <w:b/>
          <w:bCs/>
          <w:color w:val="000000"/>
          <w:kern w:val="24"/>
          <w:sz w:val="32"/>
          <w:szCs w:val="32"/>
        </w:rPr>
        <w:t xml:space="preserve"> cells are plump with </w:t>
      </w:r>
      <w:proofErr w:type="spellStart"/>
      <w:r w:rsidRPr="0064266D">
        <w:rPr>
          <w:rFonts w:ascii="Calibri" w:eastAsia="+mj-ea" w:hAnsi="Calibri" w:cs="+mj-cs"/>
          <w:b/>
          <w:bCs/>
          <w:color w:val="000000"/>
          <w:kern w:val="24"/>
          <w:sz w:val="32"/>
          <w:szCs w:val="32"/>
        </w:rPr>
        <w:t>abundant,nely</w:t>
      </w:r>
      <w:proofErr w:type="spellEnd"/>
      <w:r w:rsidRPr="0064266D">
        <w:rPr>
          <w:rFonts w:ascii="Calibri" w:eastAsia="+mj-ea" w:hAnsi="Calibri" w:cs="+mj-cs"/>
          <w:b/>
          <w:bCs/>
          <w:color w:val="000000"/>
          <w:kern w:val="24"/>
          <w:sz w:val="32"/>
          <w:szCs w:val="32"/>
        </w:rPr>
        <w:t xml:space="preserve"> granular, acidophilic cytoplasm and round nuclei. the cysts are lined by tubular </w:t>
      </w:r>
      <w:proofErr w:type="spellStart"/>
      <w:r w:rsidRPr="0064266D">
        <w:rPr>
          <w:rFonts w:ascii="Calibri" w:eastAsia="+mj-ea" w:hAnsi="Calibri" w:cs="+mj-cs"/>
          <w:b/>
          <w:bCs/>
          <w:color w:val="000000"/>
          <w:kern w:val="24"/>
          <w:sz w:val="32"/>
          <w:szCs w:val="32"/>
        </w:rPr>
        <w:t>epithe</w:t>
      </w:r>
      <w:proofErr w:type="spellEnd"/>
      <w:r w:rsidRPr="0064266D">
        <w:rPr>
          <w:rFonts w:ascii="Calibri" w:eastAsia="+mj-ea" w:hAnsi="Calibri" w:cs="+mj-cs"/>
          <w:b/>
          <w:bCs/>
          <w:color w:val="000000"/>
          <w:kern w:val="24"/>
          <w:sz w:val="32"/>
          <w:szCs w:val="32"/>
        </w:rPr>
        <w:t xml:space="preserve"> </w:t>
      </w:r>
      <w:proofErr w:type="spellStart"/>
      <w:r w:rsidRPr="0064266D">
        <w:rPr>
          <w:rFonts w:ascii="Calibri" w:eastAsia="+mj-ea" w:hAnsi="Calibri" w:cs="+mj-cs"/>
          <w:b/>
          <w:bCs/>
          <w:color w:val="000000"/>
          <w:kern w:val="24"/>
          <w:sz w:val="32"/>
          <w:szCs w:val="32"/>
        </w:rPr>
        <w:t>lium</w:t>
      </w:r>
      <w:proofErr w:type="spellEnd"/>
      <w:r w:rsidRPr="0064266D">
        <w:rPr>
          <w:rFonts w:ascii="Calibri" w:eastAsia="+mj-ea" w:hAnsi="Calibri" w:cs="+mj-cs"/>
          <w:b/>
          <w:bCs/>
          <w:color w:val="000000"/>
          <w:kern w:val="24"/>
          <w:sz w:val="32"/>
          <w:szCs w:val="32"/>
        </w:rPr>
        <w:t xml:space="preserve"> while the stroma between the cysts contains mesenchymal tissue with some immature blastemal or </w:t>
      </w:r>
      <w:r w:rsidR="0064266D" w:rsidRPr="0064266D">
        <w:rPr>
          <w:rFonts w:ascii="Calibri" w:eastAsia="+mj-ea" w:hAnsi="Calibri" w:cs="+mj-cs"/>
          <w:b/>
          <w:bCs/>
          <w:color w:val="000000"/>
          <w:kern w:val="24"/>
          <w:sz w:val="32"/>
          <w:szCs w:val="32"/>
        </w:rPr>
        <w:t>abortive tubules</w:t>
      </w:r>
      <w:r w:rsidRPr="0064266D">
        <w:rPr>
          <w:rFonts w:ascii="Calibri" w:eastAsia="+mj-ea" w:hAnsi="Calibri" w:cs="+mj-cs"/>
          <w:b/>
          <w:bCs/>
          <w:color w:val="000000"/>
          <w:kern w:val="24"/>
          <w:sz w:val="32"/>
          <w:szCs w:val="32"/>
        </w:rPr>
        <w:br/>
      </w:r>
      <w:proofErr w:type="gramStart"/>
      <w:r w:rsidRPr="0064266D">
        <w:rPr>
          <w:rFonts w:ascii="Calibri" w:eastAsia="+mj-ea" w:hAnsi="Calibri" w:cs="+mj-cs"/>
          <w:b/>
          <w:bCs/>
          <w:color w:val="FF0000"/>
          <w:kern w:val="24"/>
          <w:sz w:val="32"/>
          <w:szCs w:val="32"/>
        </w:rPr>
        <w:t>diagnosis :</w:t>
      </w:r>
      <w:proofErr w:type="gramEnd"/>
      <w:r w:rsidRPr="0064266D">
        <w:rPr>
          <w:rFonts w:ascii="Calibri" w:eastAsia="+mj-ea" w:hAnsi="Calibri" w:cs="+mj-cs"/>
          <w:b/>
          <w:bCs/>
          <w:color w:val="FF0000"/>
          <w:kern w:val="24"/>
          <w:sz w:val="32"/>
          <w:szCs w:val="32"/>
        </w:rPr>
        <w:t xml:space="preserve"> kidney carcinoma</w:t>
      </w:r>
    </w:p>
    <w:p w14:paraId="490F168B" w14:textId="6FE41AD9" w:rsidR="0064266D" w:rsidRDefault="0064266D" w:rsidP="0037650C">
      <w:pPr>
        <w:jc w:val="both"/>
        <w:rPr>
          <w:rFonts w:ascii="Calibri" w:eastAsia="+mj-ea" w:hAnsi="Calibri" w:cs="+mj-cs"/>
          <w:b/>
          <w:bCs/>
          <w:color w:val="FF0000"/>
          <w:kern w:val="24"/>
          <w:sz w:val="32"/>
          <w:szCs w:val="32"/>
        </w:rPr>
      </w:pPr>
      <w:r>
        <w:rPr>
          <w:noProof/>
        </w:rPr>
        <w:lastRenderedPageBreak/>
        <w:drawing>
          <wp:inline distT="0" distB="0" distL="0" distR="0" wp14:anchorId="1CE6E67A" wp14:editId="29B6440E">
            <wp:extent cx="5943600" cy="3429000"/>
            <wp:effectExtent l="0" t="0" r="0" b="0"/>
            <wp:docPr id="6146" name="Picture 2" descr="Image result for renal cell carcinoma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renal cell carcinoma histolog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pic:spPr>
                </pic:pic>
              </a:graphicData>
            </a:graphic>
          </wp:inline>
        </w:drawing>
      </w:r>
    </w:p>
    <w:p w14:paraId="08EC608B" w14:textId="4A6B87DE" w:rsidR="0064266D" w:rsidRPr="0037650C" w:rsidRDefault="0064266D" w:rsidP="0037650C">
      <w:pPr>
        <w:jc w:val="both"/>
        <w:rPr>
          <w:color w:val="000000" w:themeColor="text1"/>
          <w:sz w:val="32"/>
          <w:szCs w:val="32"/>
        </w:rPr>
      </w:pPr>
      <w:proofErr w:type="gramStart"/>
      <w:r>
        <w:rPr>
          <w:rFonts w:ascii="Calibri" w:eastAsia="+mj-ea" w:hAnsi="Calibri" w:cs="+mj-cs"/>
          <w:b/>
          <w:bCs/>
          <w:color w:val="FF0000"/>
          <w:kern w:val="24"/>
          <w:sz w:val="32"/>
          <w:szCs w:val="32"/>
        </w:rPr>
        <w:t>Microscopically  :</w:t>
      </w:r>
      <w:proofErr w:type="gramEnd"/>
      <w:r>
        <w:rPr>
          <w:rFonts w:ascii="Calibri" w:eastAsia="+mj-ea" w:hAnsi="Calibri" w:cs="+mj-cs"/>
          <w:b/>
          <w:bCs/>
          <w:color w:val="FF0000"/>
          <w:kern w:val="24"/>
          <w:sz w:val="32"/>
          <w:szCs w:val="32"/>
        </w:rPr>
        <w:t xml:space="preserve"> The </w:t>
      </w:r>
      <w:proofErr w:type="spellStart"/>
      <w:r>
        <w:rPr>
          <w:rFonts w:ascii="Calibri" w:eastAsia="+mj-ea" w:hAnsi="Calibri" w:cs="+mj-cs"/>
          <w:b/>
          <w:bCs/>
          <w:color w:val="FF0000"/>
          <w:kern w:val="24"/>
          <w:sz w:val="32"/>
          <w:szCs w:val="32"/>
        </w:rPr>
        <w:t>tumour</w:t>
      </w:r>
      <w:proofErr w:type="spellEnd"/>
      <w:r>
        <w:rPr>
          <w:rFonts w:ascii="Calibri" w:eastAsia="+mj-ea" w:hAnsi="Calibri" w:cs="+mj-cs"/>
          <w:b/>
          <w:bCs/>
          <w:color w:val="FF0000"/>
          <w:kern w:val="24"/>
          <w:sz w:val="32"/>
          <w:szCs w:val="32"/>
        </w:rPr>
        <w:t xml:space="preserve"> shows solid masses and acini of uniform-appearing </w:t>
      </w:r>
      <w:proofErr w:type="spellStart"/>
      <w:r>
        <w:rPr>
          <w:rFonts w:ascii="Calibri" w:eastAsia="+mj-ea" w:hAnsi="Calibri" w:cs="+mj-cs"/>
          <w:b/>
          <w:bCs/>
          <w:color w:val="FF0000"/>
          <w:kern w:val="24"/>
          <w:sz w:val="32"/>
          <w:szCs w:val="32"/>
        </w:rPr>
        <w:t>tumour</w:t>
      </w:r>
      <w:proofErr w:type="spellEnd"/>
      <w:r>
        <w:rPr>
          <w:rFonts w:ascii="Calibri" w:eastAsia="+mj-ea" w:hAnsi="Calibri" w:cs="+mj-cs"/>
          <w:b/>
          <w:bCs/>
          <w:color w:val="FF0000"/>
          <w:kern w:val="24"/>
          <w:sz w:val="32"/>
          <w:szCs w:val="32"/>
        </w:rPr>
        <w:t xml:space="preserve"> cells , </w:t>
      </w:r>
      <w:r>
        <w:rPr>
          <w:rFonts w:ascii="Calibri" w:eastAsia="+mj-ea" w:hAnsi="Calibri" w:cs="+mj-cs"/>
          <w:b/>
          <w:bCs/>
          <w:color w:val="000000"/>
          <w:kern w:val="24"/>
          <w:sz w:val="32"/>
          <w:szCs w:val="32"/>
        </w:rPr>
        <w:t xml:space="preserve">the </w:t>
      </w:r>
      <w:proofErr w:type="spellStart"/>
      <w:r>
        <w:rPr>
          <w:rFonts w:ascii="Calibri" w:eastAsia="+mj-ea" w:hAnsi="Calibri" w:cs="+mj-cs"/>
          <w:b/>
          <w:bCs/>
          <w:color w:val="000000"/>
          <w:kern w:val="24"/>
          <w:sz w:val="32"/>
          <w:szCs w:val="32"/>
        </w:rPr>
        <w:t>tumour</w:t>
      </w:r>
      <w:proofErr w:type="spellEnd"/>
      <w:r>
        <w:rPr>
          <w:rFonts w:ascii="Calibri" w:eastAsia="+mj-ea" w:hAnsi="Calibri" w:cs="+mj-cs"/>
          <w:b/>
          <w:bCs/>
          <w:color w:val="000000"/>
          <w:kern w:val="24"/>
          <w:sz w:val="32"/>
          <w:szCs w:val="32"/>
        </w:rPr>
        <w:t xml:space="preserve"> cells are plump with </w:t>
      </w:r>
      <w:proofErr w:type="spellStart"/>
      <w:r>
        <w:rPr>
          <w:rFonts w:ascii="Calibri" w:eastAsia="+mj-ea" w:hAnsi="Calibri" w:cs="+mj-cs"/>
          <w:b/>
          <w:bCs/>
          <w:color w:val="000000"/>
          <w:kern w:val="24"/>
          <w:sz w:val="32"/>
          <w:szCs w:val="32"/>
        </w:rPr>
        <w:t>abundant,nely</w:t>
      </w:r>
      <w:proofErr w:type="spellEnd"/>
      <w:r>
        <w:rPr>
          <w:rFonts w:ascii="Calibri" w:eastAsia="+mj-ea" w:hAnsi="Calibri" w:cs="+mj-cs"/>
          <w:b/>
          <w:bCs/>
          <w:color w:val="000000"/>
          <w:kern w:val="24"/>
          <w:sz w:val="32"/>
          <w:szCs w:val="32"/>
        </w:rPr>
        <w:t xml:space="preserve"> granular, acidophilic cytoplasm and round nuclei. the cysts are lined by tubular </w:t>
      </w:r>
      <w:proofErr w:type="spellStart"/>
      <w:r>
        <w:rPr>
          <w:rFonts w:ascii="Calibri" w:eastAsia="+mj-ea" w:hAnsi="Calibri" w:cs="+mj-cs"/>
          <w:b/>
          <w:bCs/>
          <w:color w:val="000000"/>
          <w:kern w:val="24"/>
          <w:sz w:val="32"/>
          <w:szCs w:val="32"/>
        </w:rPr>
        <w:t>epithe</w:t>
      </w:r>
      <w:proofErr w:type="spellEnd"/>
      <w:r>
        <w:rPr>
          <w:rFonts w:ascii="Calibri" w:eastAsia="+mj-ea" w:hAnsi="Calibri" w:cs="+mj-cs"/>
          <w:b/>
          <w:bCs/>
          <w:color w:val="000000"/>
          <w:kern w:val="24"/>
          <w:sz w:val="32"/>
          <w:szCs w:val="32"/>
        </w:rPr>
        <w:t xml:space="preserve"> </w:t>
      </w:r>
      <w:proofErr w:type="spellStart"/>
      <w:r>
        <w:rPr>
          <w:rFonts w:ascii="Calibri" w:eastAsia="+mj-ea" w:hAnsi="Calibri" w:cs="+mj-cs"/>
          <w:b/>
          <w:bCs/>
          <w:color w:val="000000"/>
          <w:kern w:val="24"/>
          <w:sz w:val="32"/>
          <w:szCs w:val="32"/>
        </w:rPr>
        <w:t>lium</w:t>
      </w:r>
      <w:proofErr w:type="spellEnd"/>
      <w:r>
        <w:rPr>
          <w:rFonts w:ascii="Calibri" w:eastAsia="+mj-ea" w:hAnsi="Calibri" w:cs="+mj-cs"/>
          <w:b/>
          <w:bCs/>
          <w:color w:val="000000"/>
          <w:kern w:val="24"/>
          <w:sz w:val="32"/>
          <w:szCs w:val="32"/>
        </w:rPr>
        <w:t xml:space="preserve"> while the stroma between the cysts contains mesenchymal tissue with some immature blastemal or abortive tubules</w:t>
      </w:r>
      <w:r>
        <w:rPr>
          <w:rFonts w:ascii="Calibri" w:eastAsia="+mj-ea" w:hAnsi="Calibri" w:cs="+mj-cs"/>
          <w:b/>
          <w:bCs/>
          <w:color w:val="000000"/>
          <w:kern w:val="24"/>
          <w:sz w:val="32"/>
          <w:szCs w:val="32"/>
        </w:rPr>
        <w:br/>
      </w:r>
      <w:proofErr w:type="gramStart"/>
      <w:r>
        <w:rPr>
          <w:rFonts w:ascii="Calibri" w:eastAsia="+mj-ea" w:hAnsi="Calibri" w:cs="+mj-cs"/>
          <w:b/>
          <w:bCs/>
          <w:color w:val="FF0000"/>
          <w:kern w:val="24"/>
          <w:sz w:val="32"/>
          <w:szCs w:val="32"/>
        </w:rPr>
        <w:t>diagnosis :</w:t>
      </w:r>
      <w:proofErr w:type="gramEnd"/>
      <w:r>
        <w:rPr>
          <w:rFonts w:ascii="Calibri" w:eastAsia="+mj-ea" w:hAnsi="Calibri" w:cs="+mj-cs"/>
          <w:b/>
          <w:bCs/>
          <w:color w:val="FF0000"/>
          <w:kern w:val="24"/>
          <w:sz w:val="32"/>
          <w:szCs w:val="32"/>
        </w:rPr>
        <w:t xml:space="preserve"> kidney carcinoma</w:t>
      </w:r>
    </w:p>
    <w:sectPr w:rsidR="0064266D" w:rsidRPr="0037650C">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F9ADD" w14:textId="77777777" w:rsidR="004F5DCB" w:rsidRDefault="004F5DCB" w:rsidP="009A6F13">
      <w:pPr>
        <w:spacing w:after="0" w:line="240" w:lineRule="auto"/>
      </w:pPr>
      <w:r>
        <w:separator/>
      </w:r>
    </w:p>
  </w:endnote>
  <w:endnote w:type="continuationSeparator" w:id="0">
    <w:p w14:paraId="65F51FC1" w14:textId="77777777" w:rsidR="004F5DCB" w:rsidRDefault="004F5DCB" w:rsidP="009A6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950385"/>
      <w:docPartObj>
        <w:docPartGallery w:val="Page Numbers (Bottom of Page)"/>
        <w:docPartUnique/>
      </w:docPartObj>
    </w:sdtPr>
    <w:sdtEndPr>
      <w:rPr>
        <w:noProof/>
      </w:rPr>
    </w:sdtEndPr>
    <w:sdtContent>
      <w:p w14:paraId="6C966AE9" w14:textId="7B4B0268" w:rsidR="009A6F13" w:rsidRDefault="009A6F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8A728C" w14:textId="77777777" w:rsidR="009A6F13" w:rsidRDefault="009A6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F7092" w14:textId="77777777" w:rsidR="004F5DCB" w:rsidRDefault="004F5DCB" w:rsidP="009A6F13">
      <w:pPr>
        <w:spacing w:after="0" w:line="240" w:lineRule="auto"/>
      </w:pPr>
      <w:r>
        <w:separator/>
      </w:r>
    </w:p>
  </w:footnote>
  <w:footnote w:type="continuationSeparator" w:id="0">
    <w:p w14:paraId="086BCC3F" w14:textId="77777777" w:rsidR="004F5DCB" w:rsidRDefault="004F5DCB" w:rsidP="009A6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9657C" w14:textId="11B8B648" w:rsidR="009A6F13" w:rsidRDefault="009A6F13">
    <w:pPr>
      <w:pStyle w:val="Header"/>
    </w:pPr>
    <w:r>
      <w:rPr>
        <w:noProof/>
      </w:rPr>
      <mc:AlternateContent>
        <mc:Choice Requires="wps">
          <w:drawing>
            <wp:anchor distT="0" distB="0" distL="118745" distR="118745" simplePos="0" relativeHeight="251659264" behindDoc="1" locked="0" layoutInCell="1" allowOverlap="0" wp14:anchorId="7635B388" wp14:editId="05355E46">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FA281AB" w14:textId="014F0B37" w:rsidR="009A6F13" w:rsidRDefault="009A6F13">
                              <w:pPr>
                                <w:pStyle w:val="Header"/>
                                <w:tabs>
                                  <w:tab w:val="clear" w:pos="4680"/>
                                  <w:tab w:val="clear" w:pos="9360"/>
                                </w:tabs>
                                <w:jc w:val="center"/>
                                <w:rPr>
                                  <w:caps/>
                                  <w:color w:val="FFFFFF" w:themeColor="background1"/>
                                </w:rPr>
                              </w:pPr>
                              <w:r>
                                <w:rPr>
                                  <w:caps/>
                                  <w:color w:val="FFFFFF" w:themeColor="background1"/>
                                </w:rPr>
                                <w:t>Histopathology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635B388"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FA281AB" w14:textId="014F0B37" w:rsidR="009A6F13" w:rsidRDefault="009A6F13">
                        <w:pPr>
                          <w:pStyle w:val="Header"/>
                          <w:tabs>
                            <w:tab w:val="clear" w:pos="4680"/>
                            <w:tab w:val="clear" w:pos="9360"/>
                          </w:tabs>
                          <w:jc w:val="center"/>
                          <w:rPr>
                            <w:caps/>
                            <w:color w:val="FFFFFF" w:themeColor="background1"/>
                          </w:rPr>
                        </w:pPr>
                        <w:r>
                          <w:rPr>
                            <w:caps/>
                            <w:color w:val="FFFFFF" w:themeColor="background1"/>
                          </w:rPr>
                          <w:t>Histopathology</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961"/>
    <w:rsid w:val="0000070F"/>
    <w:rsid w:val="000B2BF9"/>
    <w:rsid w:val="000B60F7"/>
    <w:rsid w:val="001C26E6"/>
    <w:rsid w:val="003439F1"/>
    <w:rsid w:val="0037650C"/>
    <w:rsid w:val="0043387D"/>
    <w:rsid w:val="004F5DCB"/>
    <w:rsid w:val="005340F0"/>
    <w:rsid w:val="005435EA"/>
    <w:rsid w:val="006329EC"/>
    <w:rsid w:val="0064266D"/>
    <w:rsid w:val="00705444"/>
    <w:rsid w:val="0081173B"/>
    <w:rsid w:val="009A6F13"/>
    <w:rsid w:val="009F51EA"/>
    <w:rsid w:val="00BB370B"/>
    <w:rsid w:val="00C1394E"/>
    <w:rsid w:val="00C61592"/>
    <w:rsid w:val="00C9289E"/>
    <w:rsid w:val="00D526D8"/>
    <w:rsid w:val="00DA015A"/>
    <w:rsid w:val="00E25E7A"/>
    <w:rsid w:val="00EC112B"/>
    <w:rsid w:val="00EF2355"/>
    <w:rsid w:val="00F332FC"/>
    <w:rsid w:val="00F57961"/>
    <w:rsid w:val="00FF31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A700C"/>
  <w15:chartTrackingRefBased/>
  <w15:docId w15:val="{1C943E0B-4181-4B66-8F2E-9FCE4C43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F13"/>
  </w:style>
  <w:style w:type="paragraph" w:styleId="Footer">
    <w:name w:val="footer"/>
    <w:basedOn w:val="Normal"/>
    <w:link w:val="FooterChar"/>
    <w:uiPriority w:val="99"/>
    <w:unhideWhenUsed/>
    <w:rsid w:val="009A6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16</Pages>
  <Words>1741</Words>
  <Characters>9925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Histopathology</vt:lpstr>
    </vt:vector>
  </TitlesOfParts>
  <Company/>
  <LinksUpToDate>false</LinksUpToDate>
  <CharactersWithSpaces>11643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Histopathology</dc:title>
  <dc:subject/>
  <dc:creator>ماهر عبد العباس مهدي الزبيدي</dc:creator>
  <cp:keywords/>
  <dc:description/>
  <cp:lastModifiedBy>ماهر عبد العباس مهدي الزبيدي</cp:lastModifiedBy>
  <cp:revision>7</cp:revision>
  <dcterms:created xsi:type="dcterms:W3CDTF">2021-01-28T16:30:00Z</dcterms:created>
  <dcterms:modified xsi:type="dcterms:W3CDTF">2021-01-29T15:06:00Z</dcterms:modified>
</cp:coreProperties>
</file>