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B04D4" w14:textId="77777777" w:rsidR="00F62C95" w:rsidRPr="00F62C95" w:rsidRDefault="00F62C95" w:rsidP="00F62C95">
      <w:pPr>
        <w:rPr>
          <w:rFonts w:asciiTheme="majorBidi" w:hAnsiTheme="majorBidi" w:cstheme="majorBidi"/>
          <w:b/>
          <w:bCs/>
          <w:sz w:val="28"/>
          <w:szCs w:val="28"/>
        </w:rPr>
      </w:pPr>
      <w:r w:rsidRPr="00F62C95">
        <w:rPr>
          <w:rFonts w:asciiTheme="majorBidi" w:hAnsiTheme="majorBidi" w:cstheme="majorBidi"/>
          <w:b/>
          <w:bCs/>
          <w:sz w:val="28"/>
          <w:szCs w:val="28"/>
        </w:rPr>
        <w:t xml:space="preserve">Regulatory Dose Limits and “Trigger” Levels </w:t>
      </w:r>
    </w:p>
    <w:p w14:paraId="73E4ECCA" w14:textId="77777777" w:rsidR="00F62C95" w:rsidRPr="00F62C95" w:rsidRDefault="00F62C95" w:rsidP="00F62C95">
      <w:pPr>
        <w:rPr>
          <w:rFonts w:asciiTheme="majorBidi" w:hAnsiTheme="majorBidi" w:cstheme="majorBidi"/>
          <w:sz w:val="28"/>
          <w:szCs w:val="28"/>
        </w:rPr>
      </w:pPr>
      <w:r w:rsidRPr="00F62C95">
        <w:rPr>
          <w:rFonts w:asciiTheme="majorBidi" w:hAnsiTheme="majorBidi" w:cstheme="majorBidi"/>
          <w:sz w:val="28"/>
          <w:szCs w:val="28"/>
        </w:rPr>
        <w:t>1. Institutional</w:t>
      </w:r>
    </w:p>
    <w:p w14:paraId="305CEEEE" w14:textId="77777777" w:rsidR="00F62C95" w:rsidRPr="00F62C95" w:rsidRDefault="00F62C95" w:rsidP="00F62C95">
      <w:pPr>
        <w:rPr>
          <w:rFonts w:asciiTheme="majorBidi" w:hAnsiTheme="majorBidi" w:cstheme="majorBidi"/>
          <w:sz w:val="28"/>
          <w:szCs w:val="28"/>
        </w:rPr>
      </w:pPr>
      <w:r w:rsidRPr="00F62C95">
        <w:rPr>
          <w:rFonts w:asciiTheme="majorBidi" w:hAnsiTheme="majorBidi" w:cstheme="majorBidi"/>
          <w:sz w:val="28"/>
          <w:szCs w:val="28"/>
        </w:rPr>
        <w:t>2. Local</w:t>
      </w:r>
    </w:p>
    <w:p w14:paraId="7846E983" w14:textId="77777777" w:rsidR="00F62C95" w:rsidRPr="00F62C95" w:rsidRDefault="00F62C95" w:rsidP="00F62C95">
      <w:pPr>
        <w:rPr>
          <w:rFonts w:asciiTheme="majorBidi" w:hAnsiTheme="majorBidi" w:cstheme="majorBidi"/>
          <w:sz w:val="28"/>
          <w:szCs w:val="28"/>
        </w:rPr>
      </w:pPr>
      <w:r w:rsidRPr="00F62C95">
        <w:rPr>
          <w:rFonts w:asciiTheme="majorBidi" w:hAnsiTheme="majorBidi" w:cstheme="majorBidi"/>
          <w:sz w:val="28"/>
          <w:szCs w:val="28"/>
        </w:rPr>
        <w:t xml:space="preserve">3. State </w:t>
      </w:r>
    </w:p>
    <w:p w14:paraId="0A066EC6" w14:textId="0A337307" w:rsidR="0034004C" w:rsidRDefault="00F62C95" w:rsidP="00F62C95">
      <w:pPr>
        <w:rPr>
          <w:rFonts w:asciiTheme="majorBidi" w:hAnsiTheme="majorBidi" w:cstheme="majorBidi"/>
          <w:sz w:val="28"/>
          <w:szCs w:val="28"/>
        </w:rPr>
      </w:pPr>
      <w:r w:rsidRPr="00F62C95">
        <w:rPr>
          <w:rFonts w:asciiTheme="majorBidi" w:hAnsiTheme="majorBidi" w:cstheme="majorBidi"/>
          <w:sz w:val="28"/>
          <w:szCs w:val="28"/>
        </w:rPr>
        <w:t>4. Federa</w:t>
      </w:r>
      <w:r>
        <w:rPr>
          <w:rFonts w:asciiTheme="majorBidi" w:hAnsiTheme="majorBidi" w:cstheme="majorBidi"/>
          <w:sz w:val="28"/>
          <w:szCs w:val="28"/>
        </w:rPr>
        <w:t>l</w:t>
      </w:r>
    </w:p>
    <w:p w14:paraId="6AB09F09" w14:textId="4278ED77" w:rsidR="00F62C95" w:rsidRPr="00F62C95" w:rsidRDefault="00F62C95" w:rsidP="00F62C95">
      <w:pPr>
        <w:jc w:val="lowKashida"/>
        <w:rPr>
          <w:rFonts w:asciiTheme="majorBidi" w:hAnsiTheme="majorBidi" w:cstheme="majorBidi"/>
          <w:sz w:val="28"/>
          <w:szCs w:val="28"/>
        </w:rPr>
      </w:pPr>
      <w:r w:rsidRPr="00F62C95">
        <w:rPr>
          <w:rFonts w:asciiTheme="majorBidi" w:hAnsiTheme="majorBidi" w:cstheme="majorBidi"/>
          <w:sz w:val="28"/>
          <w:szCs w:val="28"/>
        </w:rPr>
        <w:t>Regulatory dose limits and trigger levels can vary depending on the jurisdiction and the type of radiation exposure. Here's a breakdown of what these terms generally refer to in various regulatory contexts:</w:t>
      </w:r>
    </w:p>
    <w:p w14:paraId="5A64AD98" w14:textId="343AD63B" w:rsidR="00F62C95" w:rsidRPr="00F62C95" w:rsidRDefault="00F62C95" w:rsidP="00F62C95">
      <w:pPr>
        <w:jc w:val="lowKashida"/>
        <w:rPr>
          <w:rFonts w:asciiTheme="majorBidi" w:hAnsiTheme="majorBidi" w:cstheme="majorBidi"/>
          <w:sz w:val="28"/>
          <w:szCs w:val="28"/>
        </w:rPr>
      </w:pPr>
      <w:r w:rsidRPr="00F62C95">
        <w:rPr>
          <w:rFonts w:asciiTheme="majorBidi" w:hAnsiTheme="majorBidi" w:cstheme="majorBidi"/>
          <w:sz w:val="28"/>
          <w:szCs w:val="28"/>
        </w:rPr>
        <w:t>Institutional: Institutional dose limits and trigger levels typically refer to guidelines or regulations set by specific organizations, such as universities, research institutions, or healthcare facilities, to ensure the safety of workers, researchers, and the public from radiation exposure. These limits may be more stringent than those set by regulatory agencies to ensure an extra margin of safety.</w:t>
      </w:r>
    </w:p>
    <w:p w14:paraId="240F7C11" w14:textId="503973C5" w:rsidR="00F62C95" w:rsidRPr="00F62C95" w:rsidRDefault="00F62C95" w:rsidP="00F62C95">
      <w:pPr>
        <w:jc w:val="lowKashida"/>
        <w:rPr>
          <w:rFonts w:asciiTheme="majorBidi" w:hAnsiTheme="majorBidi" w:cstheme="majorBidi"/>
          <w:sz w:val="28"/>
          <w:szCs w:val="28"/>
        </w:rPr>
      </w:pPr>
      <w:r w:rsidRPr="00F62C95">
        <w:rPr>
          <w:rFonts w:asciiTheme="majorBidi" w:hAnsiTheme="majorBidi" w:cstheme="majorBidi"/>
          <w:sz w:val="28"/>
          <w:szCs w:val="28"/>
        </w:rPr>
        <w:t>Local: Local regulatory agencies may establish dose limits and trigger levels tailored to the specific needs and circumstances of their jurisdiction. These could apply to activities such as industrial processes, waste management, or environmental monitoring. Local regulations often complement and sometimes extend beyond state and federal regulations to address regional concerns.</w:t>
      </w:r>
    </w:p>
    <w:p w14:paraId="78E2F320" w14:textId="471B1A58" w:rsidR="00F62C95" w:rsidRPr="00F62C95" w:rsidRDefault="00F62C95" w:rsidP="00F62C95">
      <w:pPr>
        <w:jc w:val="lowKashida"/>
        <w:rPr>
          <w:rFonts w:asciiTheme="majorBidi" w:hAnsiTheme="majorBidi" w:cstheme="majorBidi"/>
          <w:sz w:val="28"/>
          <w:szCs w:val="28"/>
        </w:rPr>
      </w:pPr>
      <w:r w:rsidRPr="00F62C95">
        <w:rPr>
          <w:rFonts w:asciiTheme="majorBidi" w:hAnsiTheme="majorBidi" w:cstheme="majorBidi"/>
          <w:sz w:val="28"/>
          <w:szCs w:val="28"/>
        </w:rPr>
        <w:t>State: State regulatory agencies establish radiation dose limits and trigger levels within their jurisdictions to protect public health and safety. These limits may vary depending on factors such as the type of radiation, the nature of the activity or facility, and the proximity to population centers. States may adopt regulations consistent with or more stringent than federal standards established by organizations like the U.S. Nuclear Regulatory Commission (NRC) or the Environmental Protection Agency (EPA).</w:t>
      </w:r>
    </w:p>
    <w:p w14:paraId="58D8F240" w14:textId="75CE6A46" w:rsidR="00F62C95" w:rsidRPr="00F62C95" w:rsidRDefault="00F62C95" w:rsidP="00F62C95">
      <w:pPr>
        <w:jc w:val="lowKashida"/>
        <w:rPr>
          <w:rFonts w:asciiTheme="majorBidi" w:hAnsiTheme="majorBidi" w:cstheme="majorBidi"/>
          <w:sz w:val="28"/>
          <w:szCs w:val="28"/>
        </w:rPr>
      </w:pPr>
      <w:r w:rsidRPr="00F62C95">
        <w:rPr>
          <w:rFonts w:asciiTheme="majorBidi" w:hAnsiTheme="majorBidi" w:cstheme="majorBidi"/>
          <w:sz w:val="28"/>
          <w:szCs w:val="28"/>
        </w:rPr>
        <w:t>Federal: Federal regulatory agencies, such as the U.S. Nuclear Regulatory Commission (NRC) and the Environmental Protection Agency (EPA), establish dose limits and trigger levels to protect public health and safety from radiation exposure across the United States. These agencies set standards for various sources of radiation, including nuclear power plants, medical facilities, industrial operations, and environmental contamination. Federal regulations provide a baseline level of protection that states and localities can choose to adopt or exceed based on their specific needs and circumstances.</w:t>
      </w:r>
    </w:p>
    <w:p w14:paraId="72D09421" w14:textId="1F2D5108" w:rsidR="00F62C95" w:rsidRDefault="00F62C95" w:rsidP="00F62C95">
      <w:pPr>
        <w:jc w:val="lowKashida"/>
        <w:rPr>
          <w:rFonts w:asciiTheme="majorBidi" w:hAnsiTheme="majorBidi" w:cstheme="majorBidi"/>
          <w:sz w:val="28"/>
          <w:szCs w:val="28"/>
        </w:rPr>
      </w:pPr>
      <w:r w:rsidRPr="00F62C95">
        <w:rPr>
          <w:rFonts w:asciiTheme="majorBidi" w:hAnsiTheme="majorBidi" w:cstheme="majorBidi"/>
          <w:sz w:val="28"/>
          <w:szCs w:val="28"/>
        </w:rPr>
        <w:lastRenderedPageBreak/>
        <w:t>It's important to note that these regulatory frameworks are complex and subject to change. Additionally, specific dose limits and trigger levels can vary depending on the type of radiation, exposure pathway, and the intended protection target (e.g., workers, public, environment). Compliance with these regulations typically requires monitoring, assessment, and mitigation measures to ensure that radiation exposure remains within acceptable limits.</w:t>
      </w:r>
    </w:p>
    <w:p w14:paraId="288A5854" w14:textId="5E6B5FBD" w:rsidR="00F62C95" w:rsidRDefault="00F62C95" w:rsidP="00F62C95">
      <w:pPr>
        <w:jc w:val="lowKashida"/>
        <w:rPr>
          <w:rFonts w:asciiTheme="majorBidi" w:hAnsiTheme="majorBidi" w:cstheme="majorBidi"/>
          <w:sz w:val="28"/>
          <w:szCs w:val="28"/>
        </w:rPr>
      </w:pPr>
    </w:p>
    <w:p w14:paraId="79A17227" w14:textId="77777777" w:rsidR="00F62C95" w:rsidRPr="00F62C95" w:rsidRDefault="00F62C95" w:rsidP="00F62C95">
      <w:pPr>
        <w:jc w:val="center"/>
        <w:rPr>
          <w:rFonts w:asciiTheme="majorBidi" w:hAnsiTheme="majorBidi" w:cstheme="majorBidi"/>
          <w:b/>
          <w:bCs/>
          <w:sz w:val="28"/>
          <w:szCs w:val="28"/>
        </w:rPr>
      </w:pPr>
      <w:r w:rsidRPr="00F62C95">
        <w:rPr>
          <w:rFonts w:asciiTheme="majorBidi" w:hAnsiTheme="majorBidi" w:cstheme="majorBidi"/>
          <w:b/>
          <w:bCs/>
          <w:sz w:val="28"/>
          <w:szCs w:val="28"/>
          <w:highlight w:val="yellow"/>
        </w:rPr>
        <w:t>Persons at Risk</w:t>
      </w:r>
    </w:p>
    <w:p w14:paraId="41A5352F" w14:textId="77777777" w:rsidR="00F62C95" w:rsidRPr="00F62C95" w:rsidRDefault="00F62C95" w:rsidP="00F62C95">
      <w:pPr>
        <w:jc w:val="lowKashida"/>
        <w:rPr>
          <w:rFonts w:asciiTheme="majorBidi" w:hAnsiTheme="majorBidi" w:cstheme="majorBidi"/>
          <w:sz w:val="28"/>
          <w:szCs w:val="28"/>
        </w:rPr>
      </w:pPr>
      <w:r w:rsidRPr="00F62C95">
        <w:rPr>
          <w:rFonts w:asciiTheme="majorBidi" w:hAnsiTheme="majorBidi" w:cstheme="majorBidi"/>
          <w:sz w:val="28"/>
          <w:szCs w:val="28"/>
        </w:rPr>
        <w:t xml:space="preserve">Occupational </w:t>
      </w:r>
    </w:p>
    <w:p w14:paraId="79F61F04" w14:textId="77777777" w:rsidR="00F62C95" w:rsidRPr="00F62C95" w:rsidRDefault="00F62C95" w:rsidP="00F62C95">
      <w:pPr>
        <w:jc w:val="lowKashida"/>
        <w:rPr>
          <w:rFonts w:asciiTheme="majorBidi" w:hAnsiTheme="majorBidi" w:cstheme="majorBidi"/>
          <w:sz w:val="28"/>
          <w:szCs w:val="28"/>
        </w:rPr>
      </w:pPr>
      <w:r w:rsidRPr="00F62C95">
        <w:rPr>
          <w:rFonts w:asciiTheme="majorBidi" w:hAnsiTheme="majorBidi" w:cstheme="majorBidi"/>
          <w:sz w:val="28"/>
          <w:szCs w:val="28"/>
        </w:rPr>
        <w:t>Non-Occupational Staff</w:t>
      </w:r>
    </w:p>
    <w:p w14:paraId="7210DF93" w14:textId="77777777" w:rsidR="00F62C95" w:rsidRPr="00F62C95" w:rsidRDefault="00F62C95" w:rsidP="00F62C95">
      <w:pPr>
        <w:jc w:val="lowKashida"/>
        <w:rPr>
          <w:rFonts w:asciiTheme="majorBidi" w:hAnsiTheme="majorBidi" w:cstheme="majorBidi"/>
          <w:sz w:val="28"/>
          <w:szCs w:val="28"/>
        </w:rPr>
      </w:pPr>
      <w:r w:rsidRPr="00F62C95">
        <w:rPr>
          <w:rFonts w:asciiTheme="majorBidi" w:hAnsiTheme="majorBidi" w:cstheme="majorBidi"/>
          <w:sz w:val="28"/>
          <w:szCs w:val="28"/>
        </w:rPr>
        <w:t>Members of the Public</w:t>
      </w:r>
    </w:p>
    <w:p w14:paraId="0C5E05D0" w14:textId="77777777" w:rsidR="00F62C95" w:rsidRPr="00F62C95" w:rsidRDefault="00F62C95" w:rsidP="00F62C95">
      <w:pPr>
        <w:jc w:val="lowKashida"/>
        <w:rPr>
          <w:rFonts w:asciiTheme="majorBidi" w:hAnsiTheme="majorBidi" w:cstheme="majorBidi"/>
          <w:sz w:val="28"/>
          <w:szCs w:val="28"/>
        </w:rPr>
      </w:pPr>
      <w:r w:rsidRPr="00F62C95">
        <w:rPr>
          <w:rFonts w:asciiTheme="majorBidi" w:hAnsiTheme="majorBidi" w:cstheme="majorBidi"/>
          <w:sz w:val="28"/>
          <w:szCs w:val="28"/>
        </w:rPr>
        <w:t>Fetus</w:t>
      </w:r>
    </w:p>
    <w:p w14:paraId="0E11B656" w14:textId="77777777" w:rsidR="00F62C95" w:rsidRPr="00F62C95" w:rsidRDefault="00F62C95" w:rsidP="00F62C95">
      <w:pPr>
        <w:jc w:val="lowKashida"/>
        <w:rPr>
          <w:rFonts w:asciiTheme="majorBidi" w:hAnsiTheme="majorBidi" w:cstheme="majorBidi"/>
          <w:sz w:val="28"/>
          <w:szCs w:val="28"/>
        </w:rPr>
      </w:pPr>
      <w:r w:rsidRPr="00F62C95">
        <w:rPr>
          <w:rFonts w:asciiTheme="majorBidi" w:hAnsiTheme="majorBidi" w:cstheme="majorBidi"/>
          <w:sz w:val="28"/>
          <w:szCs w:val="28"/>
        </w:rPr>
        <w:t>Patient</w:t>
      </w:r>
    </w:p>
    <w:p w14:paraId="588CB671" w14:textId="77777777" w:rsidR="00F62C95" w:rsidRPr="00F62C95" w:rsidRDefault="00F62C95" w:rsidP="00F62C95">
      <w:pPr>
        <w:jc w:val="lowKashida"/>
        <w:rPr>
          <w:rFonts w:asciiTheme="majorBidi" w:hAnsiTheme="majorBidi" w:cstheme="majorBidi"/>
          <w:sz w:val="28"/>
          <w:szCs w:val="28"/>
        </w:rPr>
      </w:pPr>
      <w:r w:rsidRPr="00F62C95">
        <w:rPr>
          <w:rFonts w:asciiTheme="majorBidi" w:hAnsiTheme="majorBidi" w:cstheme="majorBidi"/>
          <w:sz w:val="28"/>
          <w:szCs w:val="28"/>
        </w:rPr>
        <w:t>1. Adult</w:t>
      </w:r>
    </w:p>
    <w:p w14:paraId="293FE58B" w14:textId="77777777" w:rsidR="00F62C95" w:rsidRPr="00F62C95" w:rsidRDefault="00F62C95" w:rsidP="00F62C95">
      <w:pPr>
        <w:jc w:val="lowKashida"/>
        <w:rPr>
          <w:rFonts w:asciiTheme="majorBidi" w:hAnsiTheme="majorBidi" w:cstheme="majorBidi"/>
          <w:sz w:val="28"/>
          <w:szCs w:val="28"/>
        </w:rPr>
      </w:pPr>
      <w:r w:rsidRPr="00F62C95">
        <w:rPr>
          <w:rFonts w:asciiTheme="majorBidi" w:hAnsiTheme="majorBidi" w:cstheme="majorBidi"/>
          <w:sz w:val="28"/>
          <w:szCs w:val="28"/>
        </w:rPr>
        <w:t>2. Child</w:t>
      </w:r>
    </w:p>
    <w:p w14:paraId="1355CCD5" w14:textId="77777777" w:rsidR="00F62C95" w:rsidRPr="00F62C95" w:rsidRDefault="00F62C95" w:rsidP="00F62C95">
      <w:pPr>
        <w:jc w:val="lowKashida"/>
        <w:rPr>
          <w:rFonts w:asciiTheme="majorBidi" w:hAnsiTheme="majorBidi" w:cstheme="majorBidi"/>
          <w:sz w:val="28"/>
          <w:szCs w:val="28"/>
        </w:rPr>
      </w:pPr>
      <w:r w:rsidRPr="00F62C95">
        <w:rPr>
          <w:rFonts w:asciiTheme="majorBidi" w:hAnsiTheme="majorBidi" w:cstheme="majorBidi"/>
          <w:sz w:val="28"/>
          <w:szCs w:val="28"/>
        </w:rPr>
        <w:t xml:space="preserve">3. Pregnancy Identified </w:t>
      </w:r>
    </w:p>
    <w:p w14:paraId="5844AB9A" w14:textId="1BA851BC" w:rsidR="00F62C95" w:rsidRDefault="00F62C95" w:rsidP="00F62C95">
      <w:pPr>
        <w:jc w:val="lowKashida"/>
        <w:rPr>
          <w:rFonts w:asciiTheme="majorBidi" w:hAnsiTheme="majorBidi" w:cstheme="majorBidi"/>
          <w:sz w:val="28"/>
          <w:szCs w:val="28"/>
        </w:rPr>
      </w:pPr>
      <w:r w:rsidRPr="00F62C95">
        <w:rPr>
          <w:rFonts w:asciiTheme="majorBidi" w:hAnsiTheme="majorBidi" w:cstheme="majorBidi"/>
          <w:sz w:val="28"/>
          <w:szCs w:val="28"/>
        </w:rPr>
        <w:t xml:space="preserve">4. Pregnancy Status Unknown  </w:t>
      </w:r>
    </w:p>
    <w:p w14:paraId="473A107E" w14:textId="68CF1CE2" w:rsidR="00F62C95" w:rsidRPr="00F62C95" w:rsidRDefault="00F62C95" w:rsidP="00F62C95">
      <w:pPr>
        <w:jc w:val="lowKashida"/>
        <w:rPr>
          <w:rFonts w:asciiTheme="majorBidi" w:hAnsiTheme="majorBidi" w:cstheme="majorBidi"/>
          <w:sz w:val="28"/>
          <w:szCs w:val="28"/>
        </w:rPr>
      </w:pPr>
      <w:r w:rsidRPr="00F62C95">
        <w:rPr>
          <w:rFonts w:asciiTheme="majorBidi" w:hAnsiTheme="majorBidi" w:cstheme="majorBidi"/>
          <w:sz w:val="28"/>
          <w:szCs w:val="28"/>
        </w:rPr>
        <w:t>here's an overview of the different categories of individuals who may be considered at risk of radiation exposure, along with specific considerations for each:</w:t>
      </w:r>
    </w:p>
    <w:p w14:paraId="6497A5EE" w14:textId="6C93E8F5" w:rsidR="00F62C95" w:rsidRPr="00F62C95" w:rsidRDefault="00F62C95" w:rsidP="00F62C95">
      <w:pPr>
        <w:jc w:val="lowKashida"/>
        <w:rPr>
          <w:rFonts w:asciiTheme="majorBidi" w:hAnsiTheme="majorBidi" w:cstheme="majorBidi"/>
          <w:b/>
          <w:bCs/>
          <w:sz w:val="28"/>
          <w:szCs w:val="28"/>
        </w:rPr>
      </w:pPr>
      <w:r w:rsidRPr="00F62C95">
        <w:rPr>
          <w:rFonts w:asciiTheme="majorBidi" w:hAnsiTheme="majorBidi" w:cstheme="majorBidi"/>
          <w:b/>
          <w:bCs/>
          <w:sz w:val="28"/>
          <w:szCs w:val="28"/>
        </w:rPr>
        <w:t>Occupational:</w:t>
      </w:r>
    </w:p>
    <w:p w14:paraId="28C5942C" w14:textId="77777777" w:rsidR="00F62C95" w:rsidRPr="00F62C95" w:rsidRDefault="00F62C95" w:rsidP="00F62C95">
      <w:pPr>
        <w:jc w:val="lowKashida"/>
        <w:rPr>
          <w:rFonts w:asciiTheme="majorBidi" w:hAnsiTheme="majorBidi" w:cstheme="majorBidi"/>
          <w:sz w:val="28"/>
          <w:szCs w:val="28"/>
        </w:rPr>
      </w:pPr>
      <w:r w:rsidRPr="00F62C95">
        <w:rPr>
          <w:rFonts w:asciiTheme="majorBidi" w:hAnsiTheme="majorBidi" w:cstheme="majorBidi"/>
          <w:sz w:val="28"/>
          <w:szCs w:val="28"/>
        </w:rPr>
        <w:t>Definition: Individuals who work in environments where they may be exposed to radiation as part of their job duties, such as nuclear power plant workers, radiographers, radiologists, and radiation therapy technicians.</w:t>
      </w:r>
    </w:p>
    <w:p w14:paraId="3ED2275D" w14:textId="77777777" w:rsidR="00F62C95" w:rsidRPr="00F62C95" w:rsidRDefault="00F62C95" w:rsidP="00F62C95">
      <w:pPr>
        <w:jc w:val="lowKashida"/>
        <w:rPr>
          <w:rFonts w:asciiTheme="majorBidi" w:hAnsiTheme="majorBidi" w:cstheme="majorBidi"/>
          <w:sz w:val="28"/>
          <w:szCs w:val="28"/>
        </w:rPr>
      </w:pPr>
      <w:r w:rsidRPr="00F62C95">
        <w:rPr>
          <w:rFonts w:asciiTheme="majorBidi" w:hAnsiTheme="majorBidi" w:cstheme="majorBidi"/>
          <w:sz w:val="28"/>
          <w:szCs w:val="28"/>
        </w:rPr>
        <w:t>Regulatory Concerns: Occupational exposure limits are typically higher than those for the general public but are still regulated to ensure that workers are not exposed to excessive radiation doses over time. Monitoring, training, and protective measures are implemented to minimize occupational exposure risks.</w:t>
      </w:r>
    </w:p>
    <w:p w14:paraId="677828D8" w14:textId="77777777" w:rsidR="00F62C95" w:rsidRDefault="00F62C95" w:rsidP="00F62C95">
      <w:pPr>
        <w:jc w:val="lowKashida"/>
        <w:rPr>
          <w:rFonts w:asciiTheme="majorBidi" w:hAnsiTheme="majorBidi" w:cstheme="majorBidi"/>
          <w:sz w:val="28"/>
          <w:szCs w:val="28"/>
        </w:rPr>
      </w:pPr>
    </w:p>
    <w:p w14:paraId="55966BE5" w14:textId="77777777" w:rsidR="00F62C95" w:rsidRDefault="00F62C95" w:rsidP="00F62C95">
      <w:pPr>
        <w:jc w:val="lowKashida"/>
        <w:rPr>
          <w:rFonts w:asciiTheme="majorBidi" w:hAnsiTheme="majorBidi" w:cstheme="majorBidi"/>
          <w:sz w:val="28"/>
          <w:szCs w:val="28"/>
        </w:rPr>
      </w:pPr>
    </w:p>
    <w:p w14:paraId="2CF57CF3" w14:textId="60C73704" w:rsidR="00F62C95" w:rsidRPr="00F62C95" w:rsidRDefault="00F62C95" w:rsidP="00F62C95">
      <w:pPr>
        <w:jc w:val="lowKashida"/>
        <w:rPr>
          <w:rFonts w:asciiTheme="majorBidi" w:hAnsiTheme="majorBidi" w:cstheme="majorBidi"/>
          <w:b/>
          <w:bCs/>
          <w:sz w:val="28"/>
          <w:szCs w:val="28"/>
        </w:rPr>
      </w:pPr>
      <w:r w:rsidRPr="00F62C95">
        <w:rPr>
          <w:rFonts w:asciiTheme="majorBidi" w:hAnsiTheme="majorBidi" w:cstheme="majorBidi"/>
          <w:b/>
          <w:bCs/>
          <w:sz w:val="28"/>
          <w:szCs w:val="28"/>
        </w:rPr>
        <w:lastRenderedPageBreak/>
        <w:t>Non-Occupational Staff:</w:t>
      </w:r>
    </w:p>
    <w:p w14:paraId="0EB5A997" w14:textId="5D0892D2" w:rsidR="00F62C95" w:rsidRPr="00F62C95" w:rsidRDefault="00F62C95" w:rsidP="00F62C95">
      <w:pPr>
        <w:jc w:val="lowKashida"/>
        <w:rPr>
          <w:rFonts w:asciiTheme="majorBidi" w:hAnsiTheme="majorBidi" w:cstheme="majorBidi"/>
          <w:sz w:val="28"/>
          <w:szCs w:val="28"/>
        </w:rPr>
      </w:pPr>
      <w:r w:rsidRPr="00F62C95">
        <w:rPr>
          <w:rFonts w:asciiTheme="majorBidi" w:hAnsiTheme="majorBidi" w:cstheme="majorBidi"/>
          <w:sz w:val="28"/>
          <w:szCs w:val="28"/>
        </w:rPr>
        <w:t>Definition: Individuals who work in facilities where radiation is used but are not directly involved in activities that result in radiation exposure, such as administrative staff, maintenance personnel, or support staff.</w:t>
      </w:r>
    </w:p>
    <w:p w14:paraId="6A37C6D1" w14:textId="77777777" w:rsidR="00F62C95" w:rsidRPr="00F62C95" w:rsidRDefault="00F62C95" w:rsidP="00F62C95">
      <w:pPr>
        <w:jc w:val="lowKashida"/>
        <w:rPr>
          <w:rFonts w:asciiTheme="majorBidi" w:hAnsiTheme="majorBidi" w:cstheme="majorBidi"/>
          <w:sz w:val="28"/>
          <w:szCs w:val="28"/>
        </w:rPr>
      </w:pPr>
      <w:r w:rsidRPr="00F62C95">
        <w:rPr>
          <w:rFonts w:asciiTheme="majorBidi" w:hAnsiTheme="majorBidi" w:cstheme="majorBidi"/>
          <w:sz w:val="28"/>
          <w:szCs w:val="28"/>
        </w:rPr>
        <w:t>Regulatory Concerns: While these individuals may not be directly exposed to radiation as part of their job duties, they may still be at risk of exposure in certain situations, such as during maintenance activities or in the event of accidental releases. Training, awareness, and protective measures may be implemented to mitigate risks for non-occupational staff.</w:t>
      </w:r>
    </w:p>
    <w:p w14:paraId="585645EE" w14:textId="06B6090F" w:rsidR="00F62C95" w:rsidRPr="00F62C95" w:rsidRDefault="00F62C95" w:rsidP="00F62C95">
      <w:pPr>
        <w:jc w:val="lowKashida"/>
        <w:rPr>
          <w:rFonts w:asciiTheme="majorBidi" w:hAnsiTheme="majorBidi" w:cstheme="majorBidi"/>
          <w:b/>
          <w:bCs/>
          <w:sz w:val="28"/>
          <w:szCs w:val="28"/>
        </w:rPr>
      </w:pPr>
      <w:r w:rsidRPr="00F62C95">
        <w:rPr>
          <w:rFonts w:asciiTheme="majorBidi" w:hAnsiTheme="majorBidi" w:cstheme="majorBidi"/>
          <w:b/>
          <w:bCs/>
          <w:sz w:val="28"/>
          <w:szCs w:val="28"/>
        </w:rPr>
        <w:t>Members of the Public:</w:t>
      </w:r>
    </w:p>
    <w:p w14:paraId="00C5A6D6" w14:textId="77777777" w:rsidR="00F62C95" w:rsidRPr="00F62C95" w:rsidRDefault="00F62C95" w:rsidP="00F62C95">
      <w:pPr>
        <w:jc w:val="lowKashida"/>
        <w:rPr>
          <w:rFonts w:asciiTheme="majorBidi" w:hAnsiTheme="majorBidi" w:cstheme="majorBidi"/>
          <w:sz w:val="28"/>
          <w:szCs w:val="28"/>
        </w:rPr>
      </w:pPr>
      <w:r w:rsidRPr="00F62C95">
        <w:rPr>
          <w:rFonts w:asciiTheme="majorBidi" w:hAnsiTheme="majorBidi" w:cstheme="majorBidi"/>
          <w:sz w:val="28"/>
          <w:szCs w:val="28"/>
        </w:rPr>
        <w:t>Definition: Individuals who are not occupationally exposed to radiation but may be exposed to radiation from various sources in the environment, such as medical procedures, industrial activities, or natural sources.</w:t>
      </w:r>
    </w:p>
    <w:p w14:paraId="399E1E62" w14:textId="77777777" w:rsidR="00F62C95" w:rsidRPr="00F62C95" w:rsidRDefault="00F62C95" w:rsidP="00F62C95">
      <w:pPr>
        <w:jc w:val="lowKashida"/>
        <w:rPr>
          <w:rFonts w:asciiTheme="majorBidi" w:hAnsiTheme="majorBidi" w:cstheme="majorBidi"/>
          <w:sz w:val="28"/>
          <w:szCs w:val="28"/>
        </w:rPr>
      </w:pPr>
      <w:r w:rsidRPr="00F62C95">
        <w:rPr>
          <w:rFonts w:asciiTheme="majorBidi" w:hAnsiTheme="majorBidi" w:cstheme="majorBidi"/>
          <w:b/>
          <w:bCs/>
          <w:sz w:val="28"/>
          <w:szCs w:val="28"/>
        </w:rPr>
        <w:t>Regulatory Concerns</w:t>
      </w:r>
      <w:r w:rsidRPr="00F62C95">
        <w:rPr>
          <w:rFonts w:asciiTheme="majorBidi" w:hAnsiTheme="majorBidi" w:cstheme="majorBidi"/>
          <w:sz w:val="28"/>
          <w:szCs w:val="28"/>
        </w:rPr>
        <w:t>: Regulatory agencies establish dose limits and guidelines to protect members of the public from unnecessary radiation exposure. This includes ensuring safety in areas such as medical imaging, environmental contamination, and public access to radioactive materials.</w:t>
      </w:r>
    </w:p>
    <w:p w14:paraId="64E5A903" w14:textId="10864843" w:rsidR="00F62C95" w:rsidRPr="00F62C95" w:rsidRDefault="00F62C95" w:rsidP="00F62C95">
      <w:pPr>
        <w:jc w:val="lowKashida"/>
        <w:rPr>
          <w:rFonts w:asciiTheme="majorBidi" w:hAnsiTheme="majorBidi" w:cstheme="majorBidi"/>
          <w:b/>
          <w:bCs/>
          <w:sz w:val="28"/>
          <w:szCs w:val="28"/>
        </w:rPr>
      </w:pPr>
      <w:r w:rsidRPr="00F62C95">
        <w:rPr>
          <w:rFonts w:asciiTheme="majorBidi" w:hAnsiTheme="majorBidi" w:cstheme="majorBidi"/>
          <w:b/>
          <w:bCs/>
          <w:sz w:val="28"/>
          <w:szCs w:val="28"/>
        </w:rPr>
        <w:t>Fetus:</w:t>
      </w:r>
    </w:p>
    <w:p w14:paraId="5991D61F" w14:textId="77777777" w:rsidR="00F62C95" w:rsidRPr="00F62C95" w:rsidRDefault="00F62C95" w:rsidP="00F62C95">
      <w:pPr>
        <w:jc w:val="lowKashida"/>
        <w:rPr>
          <w:rFonts w:asciiTheme="majorBidi" w:hAnsiTheme="majorBidi" w:cstheme="majorBidi"/>
          <w:sz w:val="28"/>
          <w:szCs w:val="28"/>
        </w:rPr>
      </w:pPr>
      <w:r w:rsidRPr="00F62C95">
        <w:rPr>
          <w:rFonts w:asciiTheme="majorBidi" w:hAnsiTheme="majorBidi" w:cstheme="majorBidi"/>
          <w:sz w:val="28"/>
          <w:szCs w:val="28"/>
        </w:rPr>
        <w:t>Definition: The developing unborn child of a pregnant woman.</w:t>
      </w:r>
    </w:p>
    <w:p w14:paraId="4AD041AC" w14:textId="77777777" w:rsidR="00F62C95" w:rsidRPr="00F62C95" w:rsidRDefault="00F62C95" w:rsidP="00F62C95">
      <w:pPr>
        <w:jc w:val="lowKashida"/>
        <w:rPr>
          <w:rFonts w:asciiTheme="majorBidi" w:hAnsiTheme="majorBidi" w:cstheme="majorBidi"/>
          <w:sz w:val="28"/>
          <w:szCs w:val="28"/>
        </w:rPr>
      </w:pPr>
      <w:r w:rsidRPr="00F62C95">
        <w:rPr>
          <w:rFonts w:asciiTheme="majorBidi" w:hAnsiTheme="majorBidi" w:cstheme="majorBidi"/>
          <w:sz w:val="28"/>
          <w:szCs w:val="28"/>
        </w:rPr>
        <w:t>Regulatory Concerns: Pregnant radiation workers require special consideration due to the potential risks posed to the developing fetus. Regulatory agencies typically impose lower dose limits for pregnant workers to minimize fetal exposure. Pregnant workers may be reassigned to tasks with lower radiation exposure potential, or additional protective measures may be implemented to minimize fetal exposure risks.</w:t>
      </w:r>
    </w:p>
    <w:p w14:paraId="2F9DF39F" w14:textId="0A8EF494" w:rsidR="00F62C95" w:rsidRPr="00F62C95" w:rsidRDefault="00F62C95" w:rsidP="00F62C95">
      <w:pPr>
        <w:jc w:val="lowKashida"/>
        <w:rPr>
          <w:rFonts w:asciiTheme="majorBidi" w:hAnsiTheme="majorBidi" w:cstheme="majorBidi"/>
          <w:b/>
          <w:bCs/>
          <w:sz w:val="28"/>
          <w:szCs w:val="28"/>
        </w:rPr>
      </w:pPr>
      <w:r w:rsidRPr="00F62C95">
        <w:rPr>
          <w:rFonts w:asciiTheme="majorBidi" w:hAnsiTheme="majorBidi" w:cstheme="majorBidi"/>
          <w:b/>
          <w:bCs/>
          <w:sz w:val="28"/>
          <w:szCs w:val="28"/>
        </w:rPr>
        <w:t>Patient:</w:t>
      </w:r>
    </w:p>
    <w:p w14:paraId="5997D97A" w14:textId="77777777" w:rsidR="00F62C95" w:rsidRPr="00F62C95" w:rsidRDefault="00F62C95" w:rsidP="00F62C95">
      <w:pPr>
        <w:jc w:val="lowKashida"/>
        <w:rPr>
          <w:rFonts w:asciiTheme="majorBidi" w:hAnsiTheme="majorBidi" w:cstheme="majorBidi"/>
          <w:sz w:val="28"/>
          <w:szCs w:val="28"/>
        </w:rPr>
      </w:pPr>
      <w:r w:rsidRPr="00F62C95">
        <w:rPr>
          <w:rFonts w:asciiTheme="majorBidi" w:hAnsiTheme="majorBidi" w:cstheme="majorBidi"/>
          <w:sz w:val="28"/>
          <w:szCs w:val="28"/>
        </w:rPr>
        <w:t>Adult: Adult patients undergoing medical procedures involving ionizing radiation, such as diagnostic imaging (X-rays, CT scans) or radiation therapy for cancer treatment.</w:t>
      </w:r>
    </w:p>
    <w:p w14:paraId="317EF86F" w14:textId="77777777" w:rsidR="00F62C95" w:rsidRPr="00F62C95" w:rsidRDefault="00F62C95" w:rsidP="00F62C95">
      <w:pPr>
        <w:jc w:val="lowKashida"/>
        <w:rPr>
          <w:rFonts w:asciiTheme="majorBidi" w:hAnsiTheme="majorBidi" w:cstheme="majorBidi"/>
          <w:sz w:val="28"/>
          <w:szCs w:val="28"/>
        </w:rPr>
      </w:pPr>
      <w:r w:rsidRPr="00F62C95">
        <w:rPr>
          <w:rFonts w:asciiTheme="majorBidi" w:hAnsiTheme="majorBidi" w:cstheme="majorBidi"/>
          <w:sz w:val="28"/>
          <w:szCs w:val="28"/>
        </w:rPr>
        <w:t>Child: Pediatric patients undergoing similar medical procedures but with considerations for their smaller size, increased sensitivity to radiation, and longer life expectancy, which may amplify long-term radiation risks.</w:t>
      </w:r>
    </w:p>
    <w:p w14:paraId="6F0D8F5E" w14:textId="77777777" w:rsidR="00F62C95" w:rsidRPr="00F62C95" w:rsidRDefault="00F62C95" w:rsidP="00F62C95">
      <w:pPr>
        <w:jc w:val="lowKashida"/>
        <w:rPr>
          <w:rFonts w:asciiTheme="majorBidi" w:hAnsiTheme="majorBidi" w:cstheme="majorBidi"/>
          <w:sz w:val="28"/>
          <w:szCs w:val="28"/>
        </w:rPr>
      </w:pPr>
      <w:r w:rsidRPr="00F62C95">
        <w:rPr>
          <w:rFonts w:asciiTheme="majorBidi" w:hAnsiTheme="majorBidi" w:cstheme="majorBidi"/>
          <w:sz w:val="28"/>
          <w:szCs w:val="28"/>
        </w:rPr>
        <w:lastRenderedPageBreak/>
        <w:t>Pregnancy Identified: Female patients who are known to be pregnant, requiring special precautions to minimize fetal exposure during medical procedures involving ionizing radiation.</w:t>
      </w:r>
    </w:p>
    <w:p w14:paraId="7641E934" w14:textId="77777777" w:rsidR="00F62C95" w:rsidRPr="00F62C95" w:rsidRDefault="00F62C95" w:rsidP="00F62C95">
      <w:pPr>
        <w:jc w:val="lowKashida"/>
        <w:rPr>
          <w:rFonts w:asciiTheme="majorBidi" w:hAnsiTheme="majorBidi" w:cstheme="majorBidi"/>
          <w:sz w:val="28"/>
          <w:szCs w:val="28"/>
        </w:rPr>
      </w:pPr>
      <w:r w:rsidRPr="00F62C95">
        <w:rPr>
          <w:rFonts w:asciiTheme="majorBidi" w:hAnsiTheme="majorBidi" w:cstheme="majorBidi"/>
          <w:sz w:val="28"/>
          <w:szCs w:val="28"/>
        </w:rPr>
        <w:t>Pregnancy Status Unknown: Female patients of reproductive age whose pregnancy status is not known, requiring special considerations and possibly pregnancy testing before procedures involving ionizing radiation.</w:t>
      </w:r>
    </w:p>
    <w:p w14:paraId="599C6AFF" w14:textId="77777777" w:rsidR="00F62C95" w:rsidRPr="00F62C95" w:rsidRDefault="00F62C95" w:rsidP="00F62C95">
      <w:pPr>
        <w:jc w:val="lowKashida"/>
        <w:rPr>
          <w:rFonts w:asciiTheme="majorBidi" w:hAnsiTheme="majorBidi" w:cstheme="majorBidi"/>
          <w:sz w:val="28"/>
          <w:szCs w:val="28"/>
        </w:rPr>
      </w:pPr>
      <w:r w:rsidRPr="00F62C95">
        <w:rPr>
          <w:rFonts w:asciiTheme="majorBidi" w:hAnsiTheme="majorBidi" w:cstheme="majorBidi"/>
          <w:sz w:val="28"/>
          <w:szCs w:val="28"/>
        </w:rPr>
        <w:t>For each of these categories, regulatory agencies and healthcare organizations implement guidelines, training programs, and protective measures to minimize radiation risks and ensure that individuals are adequately informed and protected from unnecessary exposure.</w:t>
      </w:r>
    </w:p>
    <w:p w14:paraId="60C1A342" w14:textId="77777777" w:rsidR="00F62C95" w:rsidRPr="00F62C95" w:rsidRDefault="00F62C95" w:rsidP="00F62C95">
      <w:pPr>
        <w:rPr>
          <w:rFonts w:asciiTheme="majorBidi" w:hAnsiTheme="majorBidi" w:cstheme="majorBidi"/>
          <w:sz w:val="28"/>
          <w:szCs w:val="28"/>
        </w:rPr>
      </w:pPr>
    </w:p>
    <w:p w14:paraId="7FA10705" w14:textId="77777777" w:rsidR="00F62C95" w:rsidRPr="00F62C95" w:rsidRDefault="00F62C95" w:rsidP="00F62C95">
      <w:pPr>
        <w:rPr>
          <w:rFonts w:asciiTheme="majorBidi" w:hAnsiTheme="majorBidi" w:cstheme="majorBidi"/>
          <w:sz w:val="28"/>
          <w:szCs w:val="28"/>
        </w:rPr>
      </w:pPr>
    </w:p>
    <w:p w14:paraId="5F97482B" w14:textId="77777777" w:rsidR="00F62C95" w:rsidRPr="00F62C95" w:rsidRDefault="00F62C95" w:rsidP="00F62C95">
      <w:pPr>
        <w:rPr>
          <w:rFonts w:asciiTheme="majorBidi" w:hAnsiTheme="majorBidi" w:cstheme="majorBidi"/>
          <w:sz w:val="28"/>
          <w:szCs w:val="28"/>
        </w:rPr>
      </w:pPr>
    </w:p>
    <w:p w14:paraId="49B8957A" w14:textId="77777777" w:rsidR="00F62C95" w:rsidRPr="00F62C95" w:rsidRDefault="00F62C95" w:rsidP="00F62C95">
      <w:pPr>
        <w:rPr>
          <w:rFonts w:asciiTheme="majorBidi" w:hAnsiTheme="majorBidi" w:cstheme="majorBidi"/>
          <w:sz w:val="28"/>
          <w:szCs w:val="28"/>
        </w:rPr>
      </w:pPr>
    </w:p>
    <w:p w14:paraId="494B4CD3" w14:textId="77777777" w:rsidR="00F62C95" w:rsidRPr="00F62C95" w:rsidRDefault="00F62C95" w:rsidP="00F62C95">
      <w:pPr>
        <w:rPr>
          <w:rFonts w:asciiTheme="majorBidi" w:hAnsiTheme="majorBidi" w:cstheme="majorBidi"/>
          <w:sz w:val="28"/>
          <w:szCs w:val="28"/>
        </w:rPr>
      </w:pPr>
    </w:p>
    <w:p w14:paraId="2354517F" w14:textId="77777777" w:rsidR="00F62C95" w:rsidRPr="00F62C95" w:rsidRDefault="00F62C95" w:rsidP="00F62C95">
      <w:pPr>
        <w:jc w:val="lowKashida"/>
        <w:rPr>
          <w:rFonts w:asciiTheme="majorBidi" w:hAnsiTheme="majorBidi" w:cstheme="majorBidi"/>
          <w:sz w:val="28"/>
          <w:szCs w:val="28"/>
        </w:rPr>
      </w:pPr>
    </w:p>
    <w:sectPr w:rsidR="00F62C95" w:rsidRPr="00F62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C95"/>
    <w:rsid w:val="0034004C"/>
    <w:rsid w:val="00F62C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EC7FD"/>
  <w15:chartTrackingRefBased/>
  <w15:docId w15:val="{79BDEA59-DBC1-4C1C-8EFC-9F49591A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924</Words>
  <Characters>5270</Characters>
  <Application>Microsoft Office Word</Application>
  <DocSecurity>0</DocSecurity>
  <Lines>43</Lines>
  <Paragraphs>12</Paragraphs>
  <ScaleCrop>false</ScaleCrop>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mohammed Ali</dc:creator>
  <cp:keywords/>
  <dc:description/>
  <cp:lastModifiedBy>Amir mohammed Ali</cp:lastModifiedBy>
  <cp:revision>1</cp:revision>
  <dcterms:created xsi:type="dcterms:W3CDTF">2024-03-26T06:34:00Z</dcterms:created>
  <dcterms:modified xsi:type="dcterms:W3CDTF">2024-03-26T06:41:00Z</dcterms:modified>
</cp:coreProperties>
</file>