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1260" w14:textId="77777777" w:rsidR="0062316F" w:rsidRPr="0062316F" w:rsidRDefault="0062316F" w:rsidP="0062316F">
      <w:pPr>
        <w:jc w:val="center"/>
        <w:rPr>
          <w:rFonts w:asciiTheme="majorBidi" w:hAnsiTheme="majorBidi" w:cstheme="majorBidi"/>
          <w:b/>
          <w:bCs/>
          <w:sz w:val="28"/>
          <w:szCs w:val="28"/>
        </w:rPr>
      </w:pPr>
      <w:r w:rsidRPr="0062316F">
        <w:rPr>
          <w:rFonts w:asciiTheme="majorBidi" w:hAnsiTheme="majorBidi" w:cstheme="majorBidi"/>
          <w:b/>
          <w:bCs/>
          <w:sz w:val="28"/>
          <w:szCs w:val="28"/>
          <w:highlight w:val="yellow"/>
        </w:rPr>
        <w:t>Dose limits</w:t>
      </w:r>
    </w:p>
    <w:p w14:paraId="570DB63B" w14:textId="77777777" w:rsidR="0062316F" w:rsidRPr="0062316F" w:rsidRDefault="0062316F" w:rsidP="0062316F">
      <w:pPr>
        <w:rPr>
          <w:rFonts w:asciiTheme="majorBidi" w:hAnsiTheme="majorBidi" w:cstheme="majorBidi"/>
          <w:sz w:val="28"/>
          <w:szCs w:val="28"/>
        </w:rPr>
      </w:pPr>
      <w:r w:rsidRPr="0062316F">
        <w:rPr>
          <w:rFonts w:asciiTheme="majorBidi" w:hAnsiTheme="majorBidi" w:cstheme="majorBidi"/>
          <w:sz w:val="28"/>
          <w:szCs w:val="28"/>
        </w:rPr>
        <w:t>Occupational Dose Limits</w:t>
      </w:r>
    </w:p>
    <w:p w14:paraId="4414D642" w14:textId="77777777" w:rsidR="0062316F" w:rsidRPr="0062316F" w:rsidRDefault="0062316F" w:rsidP="0062316F">
      <w:pPr>
        <w:rPr>
          <w:rFonts w:asciiTheme="majorBidi" w:hAnsiTheme="majorBidi" w:cstheme="majorBidi"/>
          <w:sz w:val="28"/>
          <w:szCs w:val="28"/>
        </w:rPr>
      </w:pPr>
      <w:r w:rsidRPr="0062316F">
        <w:rPr>
          <w:rFonts w:asciiTheme="majorBidi" w:hAnsiTheme="majorBidi" w:cstheme="majorBidi"/>
          <w:sz w:val="28"/>
          <w:szCs w:val="28"/>
        </w:rPr>
        <w:t xml:space="preserve">1. Effective Dose </w:t>
      </w:r>
    </w:p>
    <w:p w14:paraId="6E6C8E05" w14:textId="77777777" w:rsidR="0062316F" w:rsidRPr="0062316F" w:rsidRDefault="0062316F" w:rsidP="0062316F">
      <w:pPr>
        <w:rPr>
          <w:rFonts w:asciiTheme="majorBidi" w:hAnsiTheme="majorBidi" w:cstheme="majorBidi"/>
          <w:sz w:val="28"/>
          <w:szCs w:val="28"/>
        </w:rPr>
      </w:pPr>
      <w:r w:rsidRPr="0062316F">
        <w:rPr>
          <w:rFonts w:asciiTheme="majorBidi" w:hAnsiTheme="majorBidi" w:cstheme="majorBidi"/>
          <w:sz w:val="28"/>
          <w:szCs w:val="28"/>
        </w:rPr>
        <w:t>2. Specific Organ</w:t>
      </w:r>
    </w:p>
    <w:p w14:paraId="304EA817" w14:textId="621AE821" w:rsidR="0034004C" w:rsidRDefault="0062316F" w:rsidP="0062316F">
      <w:pPr>
        <w:rPr>
          <w:rFonts w:asciiTheme="majorBidi" w:hAnsiTheme="majorBidi" w:cstheme="majorBidi"/>
          <w:sz w:val="28"/>
          <w:szCs w:val="28"/>
        </w:rPr>
      </w:pPr>
      <w:r w:rsidRPr="0062316F">
        <w:rPr>
          <w:rFonts w:asciiTheme="majorBidi" w:hAnsiTheme="majorBidi" w:cstheme="majorBidi"/>
          <w:sz w:val="28"/>
          <w:szCs w:val="28"/>
        </w:rPr>
        <w:t>3. Pregnant Workers</w:t>
      </w:r>
    </w:p>
    <w:p w14:paraId="18E7ADDE" w14:textId="2660B37C" w:rsidR="0062316F" w:rsidRPr="0062316F" w:rsidRDefault="0062316F" w:rsidP="0062316F">
      <w:pPr>
        <w:rPr>
          <w:rFonts w:asciiTheme="majorBidi" w:hAnsiTheme="majorBidi" w:cstheme="majorBidi"/>
          <w:sz w:val="28"/>
          <w:szCs w:val="28"/>
        </w:rPr>
      </w:pPr>
      <w:r w:rsidRPr="0062316F">
        <w:rPr>
          <w:rFonts w:asciiTheme="majorBidi" w:hAnsiTheme="majorBidi" w:cstheme="majorBidi"/>
          <w:sz w:val="28"/>
          <w:szCs w:val="28"/>
        </w:rPr>
        <w:t>let's delve into the details of occupational dose limits, covering effective dose, specific organ dose limits, and considerations for pregnant workers:</w:t>
      </w:r>
    </w:p>
    <w:p w14:paraId="7865939B" w14:textId="605B372D" w:rsidR="0062316F" w:rsidRPr="0062316F" w:rsidRDefault="0062316F" w:rsidP="0062316F">
      <w:pPr>
        <w:jc w:val="lowKashida"/>
        <w:rPr>
          <w:rFonts w:asciiTheme="majorBidi" w:hAnsiTheme="majorBidi" w:cstheme="majorBidi"/>
          <w:b/>
          <w:bCs/>
          <w:sz w:val="28"/>
          <w:szCs w:val="28"/>
        </w:rPr>
      </w:pPr>
      <w:r w:rsidRPr="0062316F">
        <w:rPr>
          <w:rFonts w:asciiTheme="majorBidi" w:hAnsiTheme="majorBidi" w:cstheme="majorBidi"/>
          <w:b/>
          <w:bCs/>
          <w:sz w:val="28"/>
          <w:szCs w:val="28"/>
        </w:rPr>
        <w:t>Effective Dose Limit:</w:t>
      </w:r>
    </w:p>
    <w:p w14:paraId="6BDC96DE"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The effective dose is a quantity used in radiation protection to assess the overall radiation risk to an individual from exposure to ionizing radiation. It takes into account the varying sensitivities of different tissues and organs to radiation.</w:t>
      </w:r>
    </w:p>
    <w:p w14:paraId="0894C2B4"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Occupational dose limits for effective dose are typically set by regulatory agencies to ensure that radiation workers receive doses that are kept as low as reasonably achievable (ALARA) while still allowing them to perform their job duties.</w:t>
      </w:r>
    </w:p>
    <w:p w14:paraId="4DFE3733"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The international consensus on effective dose limits for radiation workers is often expressed in terms of sieverts (Sv) per year. For example, the International Commission on Radiological Protection (ICRP) recommends an effective dose limit for radiation workers of 20 millisieverts (mSv) per year averaged over five years, with no single year exceeding 50 mSv.</w:t>
      </w:r>
    </w:p>
    <w:p w14:paraId="2C988821"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These limits may vary slightly depending on national regulations and the specific circumstances of the radiation work being performed.</w:t>
      </w:r>
    </w:p>
    <w:p w14:paraId="2A77BA24" w14:textId="66D2525E" w:rsidR="0062316F" w:rsidRPr="0062316F" w:rsidRDefault="0062316F" w:rsidP="0062316F">
      <w:pPr>
        <w:jc w:val="lowKashida"/>
        <w:rPr>
          <w:rFonts w:asciiTheme="majorBidi" w:hAnsiTheme="majorBidi" w:cstheme="majorBidi"/>
          <w:b/>
          <w:bCs/>
          <w:sz w:val="28"/>
          <w:szCs w:val="28"/>
        </w:rPr>
      </w:pPr>
      <w:r w:rsidRPr="0062316F">
        <w:rPr>
          <w:rFonts w:asciiTheme="majorBidi" w:hAnsiTheme="majorBidi" w:cstheme="majorBidi"/>
          <w:b/>
          <w:bCs/>
          <w:sz w:val="28"/>
          <w:szCs w:val="28"/>
        </w:rPr>
        <w:t>Specific Organ Dose Limits:</w:t>
      </w:r>
    </w:p>
    <w:p w14:paraId="4E2CC288"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In addition to the effective dose, regulatory agencies may also establish dose limits for specific organs or tissues that are particularly sensitive to radiation. These specific organ dose limits are intended to prevent deterministic effects, where tissue damage occurs above a certain threshold dose.</w:t>
      </w:r>
    </w:p>
    <w:p w14:paraId="262FB1E0"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Commonly regulated organs or tissues include the lens of the eye, the skin, the hands and feet, and the gonads (reproductive organs).</w:t>
      </w:r>
    </w:p>
    <w:p w14:paraId="0EC7A962"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lastRenderedPageBreak/>
        <w:t>For example, the lens of the eye has a dose limit of 150 mSv in a year, averaged over defined periods, according to the International Commission on Radiological Protection (ICRP) recommendations.</w:t>
      </w:r>
    </w:p>
    <w:p w14:paraId="1CB9C143"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Specific organ dose limits provide additional protection for critical tissues and organs that may be at higher risk of harm from radiation exposure.</w:t>
      </w:r>
    </w:p>
    <w:p w14:paraId="044DC488" w14:textId="2DAED470" w:rsidR="0062316F" w:rsidRPr="0062316F" w:rsidRDefault="0062316F" w:rsidP="0062316F">
      <w:pPr>
        <w:jc w:val="lowKashida"/>
        <w:rPr>
          <w:rFonts w:asciiTheme="majorBidi" w:hAnsiTheme="majorBidi" w:cstheme="majorBidi"/>
          <w:b/>
          <w:bCs/>
          <w:sz w:val="28"/>
          <w:szCs w:val="28"/>
        </w:rPr>
      </w:pPr>
      <w:r w:rsidRPr="0062316F">
        <w:rPr>
          <w:rFonts w:asciiTheme="majorBidi" w:hAnsiTheme="majorBidi" w:cstheme="majorBidi"/>
          <w:b/>
          <w:bCs/>
          <w:sz w:val="28"/>
          <w:szCs w:val="28"/>
        </w:rPr>
        <w:t>Pregnant Workers:</w:t>
      </w:r>
    </w:p>
    <w:p w14:paraId="3679418A"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Pregnant radiation workers require special consideration to protect both the worker and the developing fetus from potential radiation risks.</w:t>
      </w:r>
    </w:p>
    <w:p w14:paraId="64D42472"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Regulatory agencies often set specific guidelines and dose limits for pregnant radiation workers to minimize the risk of harm to the fetus.</w:t>
      </w:r>
    </w:p>
    <w:p w14:paraId="39871709"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These guidelines may include dose monitoring, dose recording, and the option for the pregnant worker to declare her pregnancy to the employer.</w:t>
      </w:r>
    </w:p>
    <w:p w14:paraId="0E8B8425"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Depending on the regulatory framework, pregnant radiation workers may be subject to lower dose limits during the gestation period to ensure additional protection for the developing fetus.</w:t>
      </w:r>
    </w:p>
    <w:p w14:paraId="19594B0C" w14:textId="77777777" w:rsidR="0062316F" w:rsidRP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It's important for pregnant radiation workers to work closely with radiation safety officers and healthcare professionals to ensure that appropriate precautions are taken to minimize radiation exposure during pregnancy.</w:t>
      </w:r>
    </w:p>
    <w:p w14:paraId="3D481806" w14:textId="58D78DB2" w:rsidR="0062316F" w:rsidRDefault="0062316F" w:rsidP="0062316F">
      <w:pPr>
        <w:jc w:val="lowKashida"/>
        <w:rPr>
          <w:rFonts w:asciiTheme="majorBidi" w:hAnsiTheme="majorBidi" w:cstheme="majorBidi"/>
          <w:sz w:val="28"/>
          <w:szCs w:val="28"/>
        </w:rPr>
      </w:pPr>
      <w:r w:rsidRPr="0062316F">
        <w:rPr>
          <w:rFonts w:asciiTheme="majorBidi" w:hAnsiTheme="majorBidi" w:cstheme="majorBidi"/>
          <w:sz w:val="28"/>
          <w:szCs w:val="28"/>
        </w:rPr>
        <w:t>Overall, occupational dose limits for effective dose and specific organs are established to ensure the protection of radiation workers while allowing them to carry out necessary tasks. Special considerations for pregnant workers aim to safeguard both the worker and the developing fetus from potential radiation risks. Compliance with these dose limits requires diligent monitoring, adherence to safety protocols, and ongoing education and training in radiation protection.</w:t>
      </w:r>
    </w:p>
    <w:p w14:paraId="6063D8D4" w14:textId="71821DD2" w:rsidR="00A552B7" w:rsidRDefault="00A552B7" w:rsidP="0062316F">
      <w:pPr>
        <w:jc w:val="lowKashida"/>
        <w:rPr>
          <w:rFonts w:asciiTheme="majorBidi" w:hAnsiTheme="majorBidi" w:cstheme="majorBidi"/>
          <w:sz w:val="28"/>
          <w:szCs w:val="28"/>
        </w:rPr>
      </w:pPr>
    </w:p>
    <w:p w14:paraId="27BEF534" w14:textId="63D1A5BA" w:rsidR="00A552B7" w:rsidRDefault="00A552B7" w:rsidP="0062316F">
      <w:pPr>
        <w:jc w:val="lowKashida"/>
        <w:rPr>
          <w:rFonts w:asciiTheme="majorBidi" w:hAnsiTheme="majorBidi" w:cstheme="majorBidi"/>
          <w:sz w:val="28"/>
          <w:szCs w:val="28"/>
        </w:rPr>
      </w:pPr>
    </w:p>
    <w:p w14:paraId="7CCFC89A" w14:textId="4A4FBBB3" w:rsidR="00A552B7" w:rsidRDefault="00A552B7" w:rsidP="0062316F">
      <w:pPr>
        <w:jc w:val="lowKashida"/>
        <w:rPr>
          <w:rFonts w:asciiTheme="majorBidi" w:hAnsiTheme="majorBidi" w:cstheme="majorBidi"/>
          <w:sz w:val="28"/>
          <w:szCs w:val="28"/>
        </w:rPr>
      </w:pPr>
    </w:p>
    <w:p w14:paraId="6FE09053" w14:textId="150DB93D" w:rsidR="00A552B7" w:rsidRDefault="00A552B7" w:rsidP="0062316F">
      <w:pPr>
        <w:jc w:val="lowKashida"/>
        <w:rPr>
          <w:rFonts w:asciiTheme="majorBidi" w:hAnsiTheme="majorBidi" w:cstheme="majorBidi"/>
          <w:sz w:val="28"/>
          <w:szCs w:val="28"/>
        </w:rPr>
      </w:pPr>
    </w:p>
    <w:p w14:paraId="4A882104" w14:textId="636777B5" w:rsidR="00A552B7" w:rsidRDefault="00A552B7" w:rsidP="0062316F">
      <w:pPr>
        <w:jc w:val="lowKashida"/>
        <w:rPr>
          <w:rFonts w:asciiTheme="majorBidi" w:hAnsiTheme="majorBidi" w:cstheme="majorBidi"/>
          <w:sz w:val="28"/>
          <w:szCs w:val="28"/>
        </w:rPr>
      </w:pPr>
    </w:p>
    <w:p w14:paraId="1368521E" w14:textId="242309F0" w:rsidR="00A552B7" w:rsidRDefault="00A552B7" w:rsidP="0062316F">
      <w:pPr>
        <w:jc w:val="lowKashida"/>
        <w:rPr>
          <w:rFonts w:asciiTheme="majorBidi" w:hAnsiTheme="majorBidi" w:cstheme="majorBidi"/>
          <w:sz w:val="28"/>
          <w:szCs w:val="28"/>
        </w:rPr>
      </w:pPr>
    </w:p>
    <w:p w14:paraId="49623406" w14:textId="77777777" w:rsidR="00A552B7" w:rsidRPr="00A552B7" w:rsidRDefault="00A552B7" w:rsidP="00A552B7">
      <w:pPr>
        <w:jc w:val="center"/>
        <w:rPr>
          <w:rFonts w:asciiTheme="majorBidi" w:hAnsiTheme="majorBidi" w:cstheme="majorBidi"/>
          <w:b/>
          <w:bCs/>
          <w:sz w:val="28"/>
          <w:szCs w:val="28"/>
        </w:rPr>
      </w:pPr>
      <w:r w:rsidRPr="00A552B7">
        <w:rPr>
          <w:rFonts w:asciiTheme="majorBidi" w:hAnsiTheme="majorBidi" w:cstheme="majorBidi"/>
          <w:b/>
          <w:bCs/>
          <w:sz w:val="28"/>
          <w:szCs w:val="28"/>
          <w:highlight w:val="yellow"/>
        </w:rPr>
        <w:lastRenderedPageBreak/>
        <w:t>Members of the Public</w:t>
      </w:r>
    </w:p>
    <w:p w14:paraId="57729EFF"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1. General</w:t>
      </w:r>
    </w:p>
    <w:p w14:paraId="634A8E27"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2. Caregivers</w:t>
      </w:r>
    </w:p>
    <w:p w14:paraId="6F410923" w14:textId="5093F6E7" w:rsid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3. Limit to Minors</w:t>
      </w:r>
    </w:p>
    <w:p w14:paraId="72650C38" w14:textId="43CFB7B6" w:rsidR="00A552B7" w:rsidRPr="00A552B7" w:rsidRDefault="00A552B7" w:rsidP="00A552B7">
      <w:pPr>
        <w:rPr>
          <w:rFonts w:asciiTheme="majorBidi" w:hAnsiTheme="majorBidi" w:cstheme="majorBidi"/>
          <w:sz w:val="28"/>
          <w:szCs w:val="28"/>
        </w:rPr>
      </w:pPr>
      <w:r w:rsidRPr="00A552B7">
        <w:rPr>
          <w:rFonts w:asciiTheme="majorBidi" w:hAnsiTheme="majorBidi" w:cstheme="majorBidi"/>
          <w:sz w:val="28"/>
          <w:szCs w:val="28"/>
        </w:rPr>
        <w:t>Members of the public can generally be categorized into various groups based on their roles, responsibilities, and demographics. Here, we'll focus on three specific groups:</w:t>
      </w:r>
    </w:p>
    <w:p w14:paraId="7C9E5BDD" w14:textId="12C7974A" w:rsidR="00A552B7" w:rsidRPr="00A552B7" w:rsidRDefault="00A552B7" w:rsidP="00A552B7">
      <w:pPr>
        <w:jc w:val="lowKashida"/>
        <w:rPr>
          <w:rFonts w:asciiTheme="majorBidi" w:hAnsiTheme="majorBidi" w:cstheme="majorBidi"/>
          <w:b/>
          <w:bCs/>
          <w:sz w:val="28"/>
          <w:szCs w:val="28"/>
        </w:rPr>
      </w:pPr>
      <w:r w:rsidRPr="00A552B7">
        <w:rPr>
          <w:rFonts w:asciiTheme="majorBidi" w:hAnsiTheme="majorBidi" w:cstheme="majorBidi"/>
          <w:b/>
          <w:bCs/>
          <w:sz w:val="28"/>
          <w:szCs w:val="28"/>
        </w:rPr>
        <w:t>General Public:</w:t>
      </w:r>
    </w:p>
    <w:p w14:paraId="62372791"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This category encompasses individuals who do not fall into any specific subcategory but represent the broader population.</w:t>
      </w:r>
    </w:p>
    <w:p w14:paraId="78F5D04C"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They may include working professionals, students, retirees, and individuals from diverse socio-economic backgrounds.</w:t>
      </w:r>
    </w:p>
    <w:p w14:paraId="0944DFA9"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 general public typically consists of adults who are responsible for their own well-being and decision-making.</w:t>
      </w:r>
    </w:p>
    <w:p w14:paraId="3245072D"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Their engagement with public services, policies, and societal activities can vary widely based on personal interests, needs, and circumstances.</w:t>
      </w:r>
    </w:p>
    <w:p w14:paraId="7CCD0BE5" w14:textId="0E03A104" w:rsidR="00A552B7" w:rsidRPr="00A552B7" w:rsidRDefault="00A552B7" w:rsidP="00A552B7">
      <w:pPr>
        <w:jc w:val="lowKashida"/>
        <w:rPr>
          <w:rFonts w:asciiTheme="majorBidi" w:hAnsiTheme="majorBidi" w:cstheme="majorBidi"/>
          <w:b/>
          <w:bCs/>
          <w:sz w:val="28"/>
          <w:szCs w:val="28"/>
        </w:rPr>
      </w:pPr>
      <w:r w:rsidRPr="00A552B7">
        <w:rPr>
          <w:rFonts w:asciiTheme="majorBidi" w:hAnsiTheme="majorBidi" w:cstheme="majorBidi"/>
          <w:b/>
          <w:bCs/>
          <w:sz w:val="28"/>
          <w:szCs w:val="28"/>
        </w:rPr>
        <w:t>Caregivers:</w:t>
      </w:r>
    </w:p>
    <w:p w14:paraId="614E5DA8"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Caregivers are individuals who provide assistance, support, and care to people who are unable to fully care for themselves due to age, illness, disability, or other circumstances.</w:t>
      </w:r>
    </w:p>
    <w:p w14:paraId="166BCD7A"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They can include family members, friends, or professional caregivers such as nurses, aides, or therapists.</w:t>
      </w:r>
    </w:p>
    <w:p w14:paraId="40B673D3"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Caregivers often undertake tasks such as bathing, feeding, medication management, transportation, and emotional support for their dependents.</w:t>
      </w:r>
    </w:p>
    <w:p w14:paraId="32862977"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Their role can be demanding, requiring patience, empathy, and sometimes specialized skills depending on the needs of the person they are caring for.</w:t>
      </w:r>
    </w:p>
    <w:p w14:paraId="5FF17C77"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Caregivers may also require support themselves, including respite care, counseling, or access to community resources to help manage the challenges they face.</w:t>
      </w:r>
    </w:p>
    <w:p w14:paraId="37765073" w14:textId="77777777" w:rsidR="00A552B7" w:rsidRDefault="00A552B7" w:rsidP="00A552B7">
      <w:pPr>
        <w:jc w:val="lowKashida"/>
        <w:rPr>
          <w:rFonts w:asciiTheme="majorBidi" w:hAnsiTheme="majorBidi" w:cstheme="majorBidi"/>
          <w:sz w:val="28"/>
          <w:szCs w:val="28"/>
        </w:rPr>
      </w:pPr>
    </w:p>
    <w:p w14:paraId="279CCD73" w14:textId="50F92AA3" w:rsidR="00A552B7" w:rsidRPr="00A552B7" w:rsidRDefault="00A552B7" w:rsidP="00A552B7">
      <w:pPr>
        <w:jc w:val="lowKashida"/>
        <w:rPr>
          <w:rFonts w:asciiTheme="majorBidi" w:hAnsiTheme="majorBidi" w:cstheme="majorBidi"/>
          <w:b/>
          <w:bCs/>
          <w:sz w:val="28"/>
          <w:szCs w:val="28"/>
        </w:rPr>
      </w:pPr>
      <w:r w:rsidRPr="00A552B7">
        <w:rPr>
          <w:rFonts w:asciiTheme="majorBidi" w:hAnsiTheme="majorBidi" w:cstheme="majorBidi"/>
          <w:b/>
          <w:bCs/>
          <w:sz w:val="28"/>
          <w:szCs w:val="28"/>
        </w:rPr>
        <w:lastRenderedPageBreak/>
        <w:t>Minors (Limited to Minors):</w:t>
      </w:r>
    </w:p>
    <w:p w14:paraId="45828015"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Minors are individuals who have not reached the age of majority, typically defined as individuals under the age of 18 in many jurisdictions.</w:t>
      </w:r>
    </w:p>
    <w:p w14:paraId="3A786E29"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Minors are legally considered to lack full autonomy and may have limited rights and responsibilities compared to adults.</w:t>
      </w:r>
    </w:p>
    <w:p w14:paraId="3926EE24"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Their rights and protections often include laws related to education, healthcare, employment, and legal guardianship.</w:t>
      </w:r>
    </w:p>
    <w:p w14:paraId="258AAD5A"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Minors may require additional support and guidance from parents, guardians, or other responsible adults to navigate various aspects of life, including education, health, and personal development.</w:t>
      </w:r>
    </w:p>
    <w:p w14:paraId="54291A1B" w14:textId="77777777" w:rsidR="00A552B7" w:rsidRPr="00A552B7"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There are specific legal considerations regarding the treatment of minors, including consent for medical treatment, participation in legal proceedings, and protection from exploitation or abuse.</w:t>
      </w:r>
    </w:p>
    <w:p w14:paraId="5773D262" w14:textId="47DB516E" w:rsidR="00A552B7" w:rsidRPr="0062316F" w:rsidRDefault="00A552B7" w:rsidP="00A552B7">
      <w:pPr>
        <w:jc w:val="lowKashida"/>
        <w:rPr>
          <w:rFonts w:asciiTheme="majorBidi" w:hAnsiTheme="majorBidi" w:cstheme="majorBidi"/>
          <w:sz w:val="28"/>
          <w:szCs w:val="28"/>
        </w:rPr>
      </w:pPr>
      <w:r w:rsidRPr="00A552B7">
        <w:rPr>
          <w:rFonts w:asciiTheme="majorBidi" w:hAnsiTheme="majorBidi" w:cstheme="majorBidi"/>
          <w:sz w:val="28"/>
          <w:szCs w:val="28"/>
        </w:rPr>
        <w:t>Each of these groups plays a vital role in society, and understanding their unique needs and circumstances is essential for providing appropriate support, services, and policies to ensure the well-being and inclusion of all members of the public.</w:t>
      </w:r>
    </w:p>
    <w:sectPr w:rsidR="00A552B7" w:rsidRPr="0062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6F"/>
    <w:rsid w:val="0034004C"/>
    <w:rsid w:val="0062316F"/>
    <w:rsid w:val="00A55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B9EA"/>
  <w15:chartTrackingRefBased/>
  <w15:docId w15:val="{ABFAFC4B-AAFD-48B9-82EC-0B377C32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mohammed Ali</dc:creator>
  <cp:keywords/>
  <dc:description/>
  <cp:lastModifiedBy>Amir mohammed Ali</cp:lastModifiedBy>
  <cp:revision>2</cp:revision>
  <dcterms:created xsi:type="dcterms:W3CDTF">2024-03-26T06:49:00Z</dcterms:created>
  <dcterms:modified xsi:type="dcterms:W3CDTF">2024-03-26T06:55:00Z</dcterms:modified>
</cp:coreProperties>
</file>