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E52" w:rsidRDefault="00396E52">
      <w:pPr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   نطاق تطبيق قانون العقوبات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 ان النص الجنائي، كبقية النصوص القانونية ليس له سلطان مطلق بل يتحدد سلطانه بحدود زمنية ومكانية وشخصية معينة، ومن ثم كان خضوع الفعل له يقتضي دخوله في حدود ذلك السلطان.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 تطبيق القانون الجنائي من حيث الزمان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 ان القانون الجنائي، كغيره من القوانين الاخرى يتطلب تطبيقه أن يكون نافذاً، ويعتبر القانون نافذاً من تأريخ نشره في الجريدة الرسمية الا إذا نص على خلاف ذلك في القانون.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 ويكون العمل بالقانون واجباً من يوم </w:t>
      </w:r>
      <w:proofErr w:type="spellStart"/>
      <w:r>
        <w:rPr>
          <w:rFonts w:hint="cs"/>
          <w:rtl/>
        </w:rPr>
        <w:t>نفاذه</w:t>
      </w:r>
      <w:proofErr w:type="spellEnd"/>
      <w:r>
        <w:rPr>
          <w:rFonts w:hint="cs"/>
          <w:rtl/>
        </w:rPr>
        <w:t xml:space="preserve"> ويستمر حتى يلغى بقانون جديد، وهذا الإلغاء قد كون بنص صريح أو ضمني أو يبطل العمل بالقانون من غير الحاجة الى إلغائه.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 مبدأ عدم رجعية القانون الجنائي على الماضي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 ويقصد به ان أثر القانون الجنائي لا يمتد الى الماضي فيحكم الوقائع التي كانت قد حدثت قبل </w:t>
      </w:r>
      <w:proofErr w:type="spellStart"/>
      <w:r>
        <w:rPr>
          <w:rFonts w:hint="cs"/>
          <w:rtl/>
        </w:rPr>
        <w:t>نفاذه</w:t>
      </w:r>
      <w:proofErr w:type="spellEnd"/>
      <w:r>
        <w:rPr>
          <w:rFonts w:hint="cs"/>
          <w:rtl/>
        </w:rPr>
        <w:t xml:space="preserve">، بل يحكم فقط تلك الوقائع التي حدثت بعد </w:t>
      </w:r>
      <w:proofErr w:type="spellStart"/>
      <w:r>
        <w:rPr>
          <w:rFonts w:hint="cs"/>
          <w:rtl/>
        </w:rPr>
        <w:t>نفاذه</w:t>
      </w:r>
      <w:proofErr w:type="spellEnd"/>
      <w:r>
        <w:rPr>
          <w:rFonts w:hint="cs"/>
          <w:rtl/>
        </w:rPr>
        <w:t xml:space="preserve">، مما يترتب عليه ان القانون واجب التطبيق هو القانون المعمول به والنافذ وقت </w:t>
      </w:r>
      <w:proofErr w:type="spellStart"/>
      <w:r>
        <w:rPr>
          <w:rFonts w:hint="cs"/>
          <w:rtl/>
        </w:rPr>
        <w:t>إرتكاب</w:t>
      </w:r>
      <w:proofErr w:type="spellEnd"/>
      <w:r>
        <w:rPr>
          <w:rFonts w:hint="cs"/>
          <w:rtl/>
        </w:rPr>
        <w:t xml:space="preserve"> الجريمة لا وقت محاكمة مرتكبها.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 وهنا يجب البحث في:</w:t>
      </w: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الجرائم الوقتية: وهي الجرائم التي تتكون الواحدة منها من عمل أو تصرف يقع وينتهي بوقوعه الجريمة كجريمة القتل أو الضرب أو السرقة.   </w:t>
      </w: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الجرائم المستمرة: وهي الجرائم التي تتكون الواحدة منها من حالة تحتمل بطبيعتها </w:t>
      </w:r>
      <w:proofErr w:type="spellStart"/>
      <w:r>
        <w:rPr>
          <w:rFonts w:hint="cs"/>
          <w:rtl/>
        </w:rPr>
        <w:t>الإستمرار</w:t>
      </w:r>
      <w:proofErr w:type="spellEnd"/>
      <w:r>
        <w:rPr>
          <w:rFonts w:hint="cs"/>
          <w:rtl/>
        </w:rPr>
        <w:t xml:space="preserve"> كجريمة إخفاء أشياء متحصلة من جريمة.  </w:t>
      </w:r>
    </w:p>
    <w:p w:rsidR="00396E52" w:rsidRDefault="00396E52" w:rsidP="00396E52">
      <w:pPr>
        <w:pStyle w:val="a3"/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جرائم </w:t>
      </w:r>
      <w:proofErr w:type="spellStart"/>
      <w:r>
        <w:rPr>
          <w:rFonts w:hint="cs"/>
          <w:rtl/>
        </w:rPr>
        <w:t>الإعتياد</w:t>
      </w:r>
      <w:proofErr w:type="spellEnd"/>
      <w:r>
        <w:rPr>
          <w:rFonts w:hint="cs"/>
          <w:rtl/>
        </w:rPr>
        <w:t xml:space="preserve">: وهي الجرائم التي تتكون الواحدة منها من عمل أو تصرف لابد من تكراره لتمام الجريمة وتحققها، كجريمة زنا الزوج في منزل الزوجية في قانون العقوبات البغدادي.     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 نطاق تطبيق مبدأ عدم رجعية القانون الجنائي على الماضي</w:t>
      </w: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القوانين الموضوعية: ويقصد بها القوانين التي تحدد الجرائم وعقوباتها، وهي تخضع لمبدأ عدم رجعية القانون الجنائي على الماضي، وبصدد ذلك نصت المادة 2  من قانون العقوبات العراقي رقم111 لسنة 1969 المعدل على انه ((يسري على الجرائم القانون النافذ وقت </w:t>
      </w:r>
      <w:proofErr w:type="spellStart"/>
      <w:r>
        <w:rPr>
          <w:rFonts w:hint="cs"/>
          <w:rtl/>
        </w:rPr>
        <w:t>إرتكابها</w:t>
      </w:r>
      <w:proofErr w:type="spellEnd"/>
      <w:r>
        <w:rPr>
          <w:rFonts w:hint="cs"/>
          <w:rtl/>
        </w:rPr>
        <w:t xml:space="preserve">، ويرجع في تحديد وقت </w:t>
      </w:r>
      <w:proofErr w:type="spellStart"/>
      <w:r>
        <w:rPr>
          <w:rFonts w:hint="cs"/>
          <w:rtl/>
        </w:rPr>
        <w:t>إرتكاب</w:t>
      </w:r>
      <w:proofErr w:type="spellEnd"/>
      <w:r>
        <w:rPr>
          <w:rFonts w:hint="cs"/>
          <w:rtl/>
        </w:rPr>
        <w:t xml:space="preserve"> الجريمة الى الوقت الذي تمت فيه افعال تنفيذها دون النظر الى وقت تحقق نتيجتها)).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 ومع ذلك هناك قوانين موضوعية لا تخضع لمبدأ عدم رجعية القانون الجنائي على الماضي وهي: </w:t>
      </w: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1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القوانين المفسرة: وهو ذلك القانون الذي يصدر لغرض تفسير نص قانوني سابق غامض يحتاج الى توضيح.  </w:t>
      </w: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1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القوانين الأصلح للمتهم: وهو القانون الذي </w:t>
      </w:r>
      <w:proofErr w:type="spellStart"/>
      <w:r>
        <w:rPr>
          <w:rFonts w:hint="cs"/>
          <w:rtl/>
        </w:rPr>
        <w:t>ينشيء</w:t>
      </w:r>
      <w:proofErr w:type="spellEnd"/>
      <w:r>
        <w:rPr>
          <w:rFonts w:hint="cs"/>
          <w:rtl/>
        </w:rPr>
        <w:t xml:space="preserve"> للمتهم مركز أفضل وأصلح له من القانون القديم.</w:t>
      </w:r>
    </w:p>
    <w:p w:rsidR="00396E52" w:rsidRDefault="00396E52" w:rsidP="00396E52">
      <w:pPr>
        <w:pStyle w:val="a3"/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2"/>
          <w:numId w:val="2"/>
        </w:numPr>
        <w:rPr>
          <w:rFonts w:hint="cs"/>
          <w:rtl/>
        </w:rPr>
      </w:pPr>
      <w:r>
        <w:rPr>
          <w:rFonts w:hint="cs"/>
          <w:rtl/>
        </w:rPr>
        <w:t>و الضابط في معرفة قانون الأصلح للمتهم هو: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أولا: نوع الجريمة </w:t>
      </w: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2"/>
          <w:numId w:val="2"/>
        </w:numPr>
        <w:rPr>
          <w:rFonts w:hint="cs"/>
          <w:rtl/>
        </w:rPr>
      </w:pPr>
      <w:r>
        <w:rPr>
          <w:rFonts w:hint="cs"/>
          <w:rtl/>
        </w:rPr>
        <w:t>ثانياً: درجة العقوبة</w:t>
      </w: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2"/>
          <w:numId w:val="2"/>
        </w:numPr>
        <w:rPr>
          <w:rFonts w:hint="cs"/>
          <w:rtl/>
        </w:rPr>
      </w:pPr>
      <w:r>
        <w:rPr>
          <w:rFonts w:hint="cs"/>
          <w:rtl/>
        </w:rPr>
        <w:t>ثالثاً: مدة العقوبة ومقدارها</w:t>
      </w:r>
    </w:p>
    <w:p w:rsidR="00396E52" w:rsidRDefault="00396E52" w:rsidP="00396E52">
      <w:pPr>
        <w:pStyle w:val="a3"/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-المبدأ في التشريع العراقي: أخذ المشرع العراقي صراحة بمبدأ رجعية القانون الجنائي الأصلح للمتهم على الماضي وهو يظهر من نص المادة 2/2 .ولكن قيد ذلك بوجوب ان يكون قد صدر القانون الاصلح قبل اكتساب الحكم الدرجة القطعية.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ولكن استثنى من ذلك حالتين حيث نادى بتطبيق القانون الاصلح رغم صدوره بعد اكتساب الحكم الدرجة القطعية وهو يظهر من نص الفقرتين 3 و 4 من المادة 2.   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-القوانين محددة الفترة: وهي التي يحدد المشرع </w:t>
      </w:r>
      <w:proofErr w:type="spellStart"/>
      <w:r>
        <w:rPr>
          <w:rFonts w:hint="cs"/>
          <w:rtl/>
        </w:rPr>
        <w:t>نفاذها</w:t>
      </w:r>
      <w:proofErr w:type="spellEnd"/>
      <w:r>
        <w:rPr>
          <w:rFonts w:hint="cs"/>
          <w:rtl/>
        </w:rPr>
        <w:t xml:space="preserve"> بأجل معين، وهذه القوانين استثنيت من مبدأ رجعية القانون الجنائي الأصلح للمتهم على الماضي وهو </w:t>
      </w:r>
      <w:proofErr w:type="spellStart"/>
      <w:r>
        <w:rPr>
          <w:rFonts w:hint="cs"/>
          <w:rtl/>
        </w:rPr>
        <w:t>يظهرمن</w:t>
      </w:r>
      <w:proofErr w:type="spellEnd"/>
      <w:r>
        <w:rPr>
          <w:rFonts w:hint="cs"/>
          <w:rtl/>
        </w:rPr>
        <w:t xml:space="preserve"> من نص المادة 3. </w:t>
      </w:r>
    </w:p>
    <w:p w:rsidR="00396E52" w:rsidRDefault="00396E52">
      <w:pPr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  <w:r>
        <w:rPr>
          <w:rFonts w:hint="cs"/>
          <w:rtl/>
        </w:rPr>
        <w:t xml:space="preserve">  -التدابير </w:t>
      </w:r>
      <w:proofErr w:type="spellStart"/>
      <w:r>
        <w:rPr>
          <w:rFonts w:hint="cs"/>
          <w:rtl/>
        </w:rPr>
        <w:t>الإحترازية</w:t>
      </w:r>
      <w:proofErr w:type="spellEnd"/>
      <w:r>
        <w:rPr>
          <w:rFonts w:hint="cs"/>
          <w:rtl/>
        </w:rPr>
        <w:t>: وهي تخضع الى جميع الاحكام التي تحكم العقوبة حيث نص على ذلك المادة 5.</w:t>
      </w: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القوانين الشكلية: وهي قوانين الاجراءات </w:t>
      </w:r>
      <w:proofErr w:type="spellStart"/>
      <w:r>
        <w:rPr>
          <w:rFonts w:hint="cs"/>
          <w:rtl/>
        </w:rPr>
        <w:t>والمبدا</w:t>
      </w:r>
      <w:proofErr w:type="spellEnd"/>
      <w:r>
        <w:rPr>
          <w:rFonts w:hint="cs"/>
          <w:rtl/>
        </w:rPr>
        <w:t xml:space="preserve"> العام فيها هو ان لها أثرا رجعيا تسري علنا وهذا بالنسبة </w:t>
      </w:r>
      <w:proofErr w:type="spellStart"/>
      <w:r>
        <w:rPr>
          <w:rFonts w:hint="cs"/>
          <w:rtl/>
        </w:rPr>
        <w:t>لاجراءات</w:t>
      </w:r>
      <w:proofErr w:type="spellEnd"/>
      <w:r>
        <w:rPr>
          <w:rFonts w:hint="cs"/>
          <w:rtl/>
        </w:rPr>
        <w:t xml:space="preserve"> التحقيق والمحاكمة والتنفيذ  لماضي.</w:t>
      </w:r>
    </w:p>
    <w:p w:rsidR="00396E52" w:rsidRDefault="00396E52">
      <w:pPr>
        <w:rPr>
          <w:rFonts w:hint="cs"/>
          <w:rtl/>
        </w:rPr>
      </w:pPr>
    </w:p>
    <w:p w:rsidR="00396E52" w:rsidRDefault="00396E52" w:rsidP="00396E52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قوانين التقادم: تلك القوانين التي تبين المدة اللازمة لانقضاء الدعوى العامة او لسقوط العقوبة وعدم تنفيذها </w:t>
      </w:r>
    </w:p>
    <w:p w:rsidR="00396E52" w:rsidRDefault="00396E52" w:rsidP="00396E52">
      <w:pPr>
        <w:pStyle w:val="a3"/>
        <w:rPr>
          <w:rFonts w:hint="cs"/>
          <w:rtl/>
        </w:rPr>
      </w:pPr>
    </w:p>
    <w:p w:rsidR="00396E52" w:rsidRDefault="00396E52">
      <w:pPr>
        <w:rPr>
          <w:rFonts w:hint="cs"/>
          <w:rtl/>
        </w:rPr>
      </w:pPr>
    </w:p>
    <w:p w:rsidR="00396E52" w:rsidRDefault="00396E52"/>
    <w:sectPr w:rsidR="00396E52" w:rsidSect="00074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050"/>
    <w:multiLevelType w:val="hybridMultilevel"/>
    <w:tmpl w:val="0530489C"/>
    <w:lvl w:ilvl="0" w:tplc="FFFFFFFF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787E4A41"/>
    <w:multiLevelType w:val="hybridMultilevel"/>
    <w:tmpl w:val="E6668F6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74032E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plc="BBE61A30">
      <w:start w:val="2"/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159864">
    <w:abstractNumId w:val="0"/>
  </w:num>
  <w:num w:numId="2" w16cid:durableId="161509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52"/>
    <w:rsid w:val="00074BFF"/>
    <w:rsid w:val="003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F0C4E3"/>
  <w15:chartTrackingRefBased/>
  <w15:docId w15:val="{E82D6CBF-4558-4C47-8546-48B7C522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hazmmhsn87@gmail.com</dc:creator>
  <cp:keywords/>
  <dc:description/>
  <cp:lastModifiedBy>hazmmhsn87@gmail.com</cp:lastModifiedBy>
  <cp:revision>2</cp:revision>
  <dcterms:created xsi:type="dcterms:W3CDTF">2022-12-24T21:04:00Z</dcterms:created>
  <dcterms:modified xsi:type="dcterms:W3CDTF">2022-12-24T21:04:00Z</dcterms:modified>
</cp:coreProperties>
</file>