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D41" w:rsidRDefault="00FD4D41">
      <w:pPr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 xml:space="preserve">المساهمة الجنائية 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تعريفها: وهو أن يتعاون أكثر من شخص في </w:t>
      </w:r>
      <w:proofErr w:type="spellStart"/>
      <w:r>
        <w:rPr>
          <w:rFonts w:hint="cs"/>
          <w:rtl/>
        </w:rPr>
        <w:t>إرتكاب</w:t>
      </w:r>
      <w:proofErr w:type="spellEnd"/>
      <w:r>
        <w:rPr>
          <w:rFonts w:hint="cs"/>
          <w:rtl/>
        </w:rPr>
        <w:t xml:space="preserve"> جريمة واحدة.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شروطها:</w:t>
      </w:r>
    </w:p>
    <w:p w:rsidR="00FD4D41" w:rsidRDefault="00FD4D41" w:rsidP="00FD4D41">
      <w:pPr>
        <w:pStyle w:val="a3"/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1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تعدد الجناة: ويتحقق عندما يتعاون أكثر من شخص في </w:t>
      </w:r>
      <w:proofErr w:type="spellStart"/>
      <w:r>
        <w:rPr>
          <w:rFonts w:hint="cs"/>
          <w:rtl/>
        </w:rPr>
        <w:t>إرتكابها</w:t>
      </w:r>
      <w:proofErr w:type="spellEnd"/>
      <w:r>
        <w:rPr>
          <w:rFonts w:hint="cs"/>
          <w:rtl/>
        </w:rPr>
        <w:t xml:space="preserve">. 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2"/>
          <w:numId w:val="1"/>
        </w:numPr>
        <w:rPr>
          <w:rFonts w:hint="cs"/>
          <w:rtl/>
        </w:rPr>
      </w:pPr>
      <w:r>
        <w:rPr>
          <w:rFonts w:hint="cs"/>
          <w:rtl/>
        </w:rPr>
        <w:t>وحدة الجريمة: ويتحقق بوحدة الركن المادي وكذلك الركن المعنوي.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0"/>
          <w:numId w:val="1"/>
        </w:numPr>
        <w:rPr>
          <w:rFonts w:hint="cs"/>
          <w:rtl/>
        </w:rPr>
      </w:pPr>
      <w:proofErr w:type="spellStart"/>
      <w:r>
        <w:rPr>
          <w:rFonts w:hint="cs"/>
          <w:rtl/>
        </w:rPr>
        <w:t>الإتجاهات</w:t>
      </w:r>
      <w:proofErr w:type="spellEnd"/>
      <w:r>
        <w:rPr>
          <w:rFonts w:hint="cs"/>
          <w:rtl/>
        </w:rPr>
        <w:t xml:space="preserve"> الفقهية في المساهمة الجنائية 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1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نظام وحدة الجريمة: بحسب هذا النظام الجريمة التي يرتكبها الفاعلون ويساهم معهم الشركاء هي جريمة واحدة . 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1"/>
          <w:numId w:val="1"/>
        </w:numPr>
        <w:rPr>
          <w:rFonts w:hint="cs"/>
          <w:rtl/>
        </w:rPr>
      </w:pPr>
      <w:r>
        <w:rPr>
          <w:rFonts w:hint="cs"/>
          <w:rtl/>
        </w:rPr>
        <w:t>نظام تعدد الجرائم: وتقوم هذا النظام على فكرة تجزئة الجريمة الى أدوار متعددة وكل دور يصبح جريمة قائمة بذاتها .</w:t>
      </w:r>
    </w:p>
    <w:p w:rsidR="00FD4D41" w:rsidRDefault="00FD4D41" w:rsidP="00FD4D41">
      <w:pPr>
        <w:pStyle w:val="a3"/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1"/>
          <w:numId w:val="1"/>
        </w:numPr>
        <w:rPr>
          <w:rFonts w:hint="cs"/>
          <w:rtl/>
        </w:rPr>
      </w:pPr>
      <w:r>
        <w:rPr>
          <w:rFonts w:hint="cs"/>
          <w:rtl/>
        </w:rPr>
        <w:t>موقف التشريع العراقي</w:t>
      </w:r>
    </w:p>
    <w:p w:rsidR="00FD4D41" w:rsidRDefault="00FD4D41">
      <w:pPr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  <w:r>
        <w:rPr>
          <w:rFonts w:hint="cs"/>
          <w:rtl/>
        </w:rPr>
        <w:t xml:space="preserve">   أخذ نظام وحدة الجريمة واقر مذهب </w:t>
      </w:r>
      <w:proofErr w:type="spellStart"/>
      <w:r>
        <w:rPr>
          <w:rFonts w:hint="cs"/>
          <w:rtl/>
        </w:rPr>
        <w:t>الإستعارة</w:t>
      </w:r>
      <w:proofErr w:type="spellEnd"/>
      <w:r>
        <w:rPr>
          <w:rFonts w:hint="cs"/>
          <w:rtl/>
        </w:rPr>
        <w:t xml:space="preserve"> المطلقة وهذا يظهر من نص المادة ( 50 ) </w:t>
      </w:r>
      <w:proofErr w:type="spellStart"/>
      <w:r>
        <w:rPr>
          <w:rFonts w:hint="cs"/>
          <w:rtl/>
        </w:rPr>
        <w:t>ق.ع.ع</w:t>
      </w:r>
      <w:proofErr w:type="spellEnd"/>
      <w:r>
        <w:rPr>
          <w:rFonts w:hint="cs"/>
          <w:rtl/>
        </w:rPr>
        <w:t xml:space="preserve"> .</w:t>
      </w:r>
    </w:p>
    <w:p w:rsidR="00FD4D41" w:rsidRDefault="00FD4D41">
      <w:pPr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  <w:r>
        <w:rPr>
          <w:rFonts w:hint="cs"/>
          <w:rtl/>
        </w:rPr>
        <w:t>كما انه اخذ بمبدأ الاستعارة النسبية بحسب المادة 51.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صور المساهمة الجنائية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1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المساهمة الأصلية في الجريمة: الشخص الذي يقوم بدور رئيسي في ارتكاب الجريمة يكون مساهما اصليا ويسمى بالفاعل. 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1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المساهمة التبعية في الجريمة: الشخص الذي يقوم بدور ثانوي في </w:t>
      </w:r>
      <w:proofErr w:type="spellStart"/>
      <w:r>
        <w:rPr>
          <w:rFonts w:hint="cs"/>
          <w:rtl/>
        </w:rPr>
        <w:t>إرتكاب</w:t>
      </w:r>
      <w:proofErr w:type="spellEnd"/>
      <w:r>
        <w:rPr>
          <w:rFonts w:hint="cs"/>
          <w:rtl/>
        </w:rPr>
        <w:t xml:space="preserve"> الجريمة يكون مساهما تبعيا ويسمى بالشريك.</w:t>
      </w:r>
    </w:p>
    <w:p w:rsidR="00FD4D41" w:rsidRDefault="00FD4D41" w:rsidP="00FD4D41">
      <w:pPr>
        <w:pStyle w:val="a3"/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  <w:r>
        <w:rPr>
          <w:rFonts w:hint="cs"/>
          <w:rtl/>
        </w:rPr>
        <w:t>5-التمييز بين المساهمة الأصلية والمساهمة التبعية في الجريمة.</w:t>
      </w:r>
    </w:p>
    <w:p w:rsidR="00FD4D41" w:rsidRDefault="00FD4D41">
      <w:pPr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  <w:r>
        <w:rPr>
          <w:rFonts w:hint="cs"/>
          <w:rtl/>
        </w:rPr>
        <w:t xml:space="preserve">-النظرية الشخصية: ومعيارها في التمييز يكمن في الركن المعنوي للجريمة حيث تميز المساهم الاصلي عن المساهم التبعي بانه من </w:t>
      </w:r>
      <w:proofErr w:type="spellStart"/>
      <w:r>
        <w:rPr>
          <w:rFonts w:hint="cs"/>
          <w:rtl/>
        </w:rPr>
        <w:t>تافرت</w:t>
      </w:r>
      <w:proofErr w:type="spellEnd"/>
      <w:r>
        <w:rPr>
          <w:rFonts w:hint="cs"/>
          <w:rtl/>
        </w:rPr>
        <w:t xml:space="preserve"> لديه نية من نوع خاص .</w:t>
      </w:r>
    </w:p>
    <w:p w:rsidR="00FD4D41" w:rsidRDefault="00FD4D41">
      <w:pPr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  <w:r>
        <w:rPr>
          <w:rFonts w:hint="cs"/>
          <w:rtl/>
        </w:rPr>
        <w:t>-النظرية الموضوعية: ومعيارها في التمييز يكمن في الركن المادي للجريمة أي في نوع السلوك الذي يرتكبه المتهم ومقدار خطورته على الحق الذي يحميه القانون .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أهمية التمييز بين المساهمة الأصلية والمساهمة التبعية في الجريمة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3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من حيث العقاب </w:t>
      </w:r>
    </w:p>
    <w:p w:rsidR="00FD4D41" w:rsidRDefault="00FD4D41">
      <w:pPr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  <w:r>
        <w:rPr>
          <w:rFonts w:hint="cs"/>
          <w:rtl/>
        </w:rPr>
        <w:t xml:space="preserve">ب– من حيث </w:t>
      </w:r>
      <w:proofErr w:type="spellStart"/>
      <w:r>
        <w:rPr>
          <w:rFonts w:hint="cs"/>
          <w:rtl/>
        </w:rPr>
        <w:t>إعتبار</w:t>
      </w:r>
      <w:proofErr w:type="spellEnd"/>
      <w:r>
        <w:rPr>
          <w:rFonts w:hint="cs"/>
          <w:rtl/>
        </w:rPr>
        <w:t xml:space="preserve"> تعدد الجناة ظرفاً مشدداً </w:t>
      </w:r>
    </w:p>
    <w:p w:rsidR="00FD4D41" w:rsidRDefault="00FD4D41">
      <w:pPr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  <w:r>
        <w:rPr>
          <w:rFonts w:hint="cs"/>
          <w:rtl/>
        </w:rPr>
        <w:t>ج– من حيث توافر أركان بعض الجرائم</w:t>
      </w:r>
    </w:p>
    <w:p w:rsidR="00FD4D41" w:rsidRDefault="00FD4D41">
      <w:pPr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  <w:r>
        <w:rPr>
          <w:rFonts w:hint="cs"/>
          <w:rtl/>
        </w:rPr>
        <w:t xml:space="preserve"> د– من حيث تأثير الظروف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المساهمة الأصلية في الجريمة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تعريفها: هو القيام بدور رئيس في تنفيذ الجريمة.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أركانها:</w:t>
      </w:r>
    </w:p>
    <w:p w:rsidR="00FD4D41" w:rsidRDefault="00FD4D41" w:rsidP="00FD4D41">
      <w:pPr>
        <w:pStyle w:val="a3"/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1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الركن المادي: وهي الأفعال التي يأتيها الجاني ويعتبر بها مساهماً أصلياً في الجريمة، والذي نص عيها المشرع العراقي ف المادة (47 و49) ق. </w:t>
      </w:r>
      <w:proofErr w:type="spellStart"/>
      <w:r>
        <w:rPr>
          <w:rFonts w:hint="cs"/>
          <w:rtl/>
        </w:rPr>
        <w:t>ع.ع</w:t>
      </w:r>
      <w:proofErr w:type="spellEnd"/>
      <w:r>
        <w:rPr>
          <w:rFonts w:hint="cs"/>
          <w:rtl/>
        </w:rPr>
        <w:t xml:space="preserve"> وهم: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3"/>
          <w:numId w:val="1"/>
        </w:numPr>
        <w:rPr>
          <w:rFonts w:hint="cs"/>
          <w:rtl/>
        </w:rPr>
      </w:pPr>
      <w:r>
        <w:rPr>
          <w:rFonts w:hint="cs"/>
          <w:rtl/>
        </w:rPr>
        <w:t>من يرتكبها وحده أو مع غيره.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3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من يساهم في </w:t>
      </w:r>
      <w:proofErr w:type="spellStart"/>
      <w:r>
        <w:rPr>
          <w:rFonts w:hint="cs"/>
          <w:rtl/>
        </w:rPr>
        <w:t>إرتكابها</w:t>
      </w:r>
      <w:proofErr w:type="spellEnd"/>
      <w:r>
        <w:rPr>
          <w:rFonts w:hint="cs"/>
          <w:rtl/>
        </w:rPr>
        <w:t xml:space="preserve"> إذا كانت تتكون من جملة أفعال فقام عمدا أثناء </w:t>
      </w:r>
      <w:proofErr w:type="spellStart"/>
      <w:r>
        <w:rPr>
          <w:rFonts w:hint="cs"/>
          <w:rtl/>
        </w:rPr>
        <w:t>إرتكابها</w:t>
      </w:r>
      <w:proofErr w:type="spellEnd"/>
      <w:r>
        <w:rPr>
          <w:rFonts w:hint="cs"/>
          <w:rtl/>
        </w:rPr>
        <w:t xml:space="preserve"> بعمل من الأعمال المكونة لها.</w:t>
      </w:r>
    </w:p>
    <w:p w:rsidR="00FD4D41" w:rsidRDefault="00FD4D41" w:rsidP="00FD4D41">
      <w:pPr>
        <w:pStyle w:val="a3"/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  <w:r>
        <w:rPr>
          <w:rFonts w:hint="cs"/>
          <w:rtl/>
        </w:rPr>
        <w:t>ج- الفاعل المعنوي.</w:t>
      </w:r>
    </w:p>
    <w:p w:rsidR="00FD4D41" w:rsidRDefault="00FD4D41">
      <w:pPr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  <w:r>
        <w:rPr>
          <w:rFonts w:hint="cs"/>
          <w:rtl/>
        </w:rPr>
        <w:t>د- الشريك الذي يحضر مسرح الجريمة .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1"/>
          <w:numId w:val="1"/>
        </w:numPr>
        <w:rPr>
          <w:rFonts w:hint="cs"/>
          <w:rtl/>
        </w:rPr>
      </w:pPr>
      <w:r>
        <w:rPr>
          <w:rFonts w:hint="cs"/>
          <w:rtl/>
        </w:rPr>
        <w:t>الركن المعنوي: ويتحقق في المساهمة الجنائية بتحقق نية التدخل (قصد المساهمة) في الجريمة.</w:t>
      </w:r>
    </w:p>
    <w:p w:rsidR="00FD4D41" w:rsidRDefault="00FD4D41">
      <w:pPr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  <w:r>
        <w:rPr>
          <w:rFonts w:hint="cs"/>
          <w:rtl/>
        </w:rPr>
        <w:t>3-النتيجة المحتملة في المساهمة الأصلية في الجريمة</w:t>
      </w:r>
    </w:p>
    <w:p w:rsidR="00FD4D41" w:rsidRDefault="00FD4D41">
      <w:pPr>
        <w:rPr>
          <w:rFonts w:hint="cs"/>
          <w:rtl/>
        </w:rPr>
      </w:pPr>
    </w:p>
    <w:p w:rsidR="00FD4D41" w:rsidRDefault="00FD4D41">
      <w:pPr>
        <w:rPr>
          <w:rFonts w:hint="cs"/>
          <w:rtl/>
        </w:rPr>
      </w:pPr>
      <w:r>
        <w:rPr>
          <w:rFonts w:hint="cs"/>
          <w:rtl/>
        </w:rPr>
        <w:t xml:space="preserve">   نص المشرع العراقي في المادة 53 على انه (يعاقب المساهم في جريمة، فاعلا أو شريكا، بعقوبة الجريمة التي وقعت فعلا ولو كانت غير التي قصد </w:t>
      </w:r>
      <w:proofErr w:type="spellStart"/>
      <w:r>
        <w:rPr>
          <w:rFonts w:hint="cs"/>
          <w:rtl/>
        </w:rPr>
        <w:t>إرتكابها</w:t>
      </w:r>
      <w:proofErr w:type="spellEnd"/>
      <w:r>
        <w:rPr>
          <w:rFonts w:hint="cs"/>
          <w:rtl/>
        </w:rPr>
        <w:t xml:space="preserve"> متى كانت الجريمة التي وقعت نتيجة محتملة للمساهمة التي حصلت) . </w:t>
      </w:r>
    </w:p>
    <w:p w:rsidR="00FD4D41" w:rsidRDefault="00FD4D41">
      <w:pPr>
        <w:rPr>
          <w:rFonts w:hint="cs"/>
          <w:rtl/>
        </w:rPr>
      </w:pPr>
    </w:p>
    <w:p w:rsidR="00FD4D41" w:rsidRDefault="00FD4D41" w:rsidP="00FD4D41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عقوبة المساهم الأصلي في الجريمة: نص المشرع العراقي في المادة (50) على انه (كل من ساهم بوصفه فاعلا أو شريكا في </w:t>
      </w:r>
      <w:proofErr w:type="spellStart"/>
      <w:r>
        <w:rPr>
          <w:rFonts w:hint="cs"/>
          <w:rtl/>
        </w:rPr>
        <w:t>إرتكاب</w:t>
      </w:r>
      <w:proofErr w:type="spellEnd"/>
      <w:r>
        <w:rPr>
          <w:rFonts w:hint="cs"/>
          <w:rtl/>
        </w:rPr>
        <w:t xml:space="preserve"> جريمة يعاقب بالعقوبة المقررة لها، ما لم ينص القانون على خلاف ذلك) .  </w:t>
      </w:r>
    </w:p>
    <w:p w:rsidR="00FD4D41" w:rsidRDefault="00FD4D41">
      <w:pPr>
        <w:rPr>
          <w:rFonts w:hint="cs"/>
          <w:rtl/>
        </w:rPr>
      </w:pPr>
    </w:p>
    <w:p w:rsidR="00FD4D41" w:rsidRDefault="00FD4D41"/>
    <w:sectPr w:rsidR="00FD4D41" w:rsidSect="00074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653D"/>
    <w:multiLevelType w:val="hybridMultilevel"/>
    <w:tmpl w:val="AF2CE1C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213F"/>
    <w:multiLevelType w:val="hybridMultilevel"/>
    <w:tmpl w:val="50CE6C0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626FAE2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A1BC36F0">
      <w:start w:val="2"/>
      <w:numFmt w:val="bullet"/>
      <w:lvlText w:val="–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2B860DCC">
      <w:start w:val="1"/>
      <w:numFmt w:val="arabicAlpha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020924">
    <w:abstractNumId w:val="1"/>
  </w:num>
  <w:num w:numId="2" w16cid:durableId="70197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41"/>
    <w:rsid w:val="00074BFF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C5DC516"/>
  <w15:chartTrackingRefBased/>
  <w15:docId w15:val="{5A27FA70-BFC5-FD47-92F6-DE80032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hazmmhsn87@gmail.com</dc:creator>
  <cp:keywords/>
  <dc:description/>
  <cp:lastModifiedBy>hazmmhsn87@gmail.com</cp:lastModifiedBy>
  <cp:revision>2</cp:revision>
  <dcterms:created xsi:type="dcterms:W3CDTF">2022-12-24T21:13:00Z</dcterms:created>
  <dcterms:modified xsi:type="dcterms:W3CDTF">2022-12-24T21:13:00Z</dcterms:modified>
</cp:coreProperties>
</file>