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901E4">
        <w:rPr>
          <w:rFonts w:asciiTheme="majorBidi" w:hAnsiTheme="majorBidi" w:cstheme="majorBidi"/>
          <w:b/>
          <w:bCs/>
          <w:sz w:val="32"/>
          <w:szCs w:val="32"/>
        </w:rPr>
        <w:t>Lec</w:t>
      </w:r>
      <w:proofErr w:type="gramStart"/>
      <w:r w:rsidRPr="000901E4">
        <w:rPr>
          <w:rFonts w:asciiTheme="majorBidi" w:hAnsiTheme="majorBidi" w:cstheme="majorBidi"/>
          <w:b/>
          <w:bCs/>
          <w:sz w:val="32"/>
          <w:szCs w:val="32"/>
        </w:rPr>
        <w:t>:6</w:t>
      </w:r>
      <w:proofErr w:type="gramEnd"/>
      <w:r w:rsidRPr="000901E4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</w:t>
      </w:r>
      <w:r w:rsidRPr="000901E4">
        <w:rPr>
          <w:rFonts w:asciiTheme="majorBidi" w:hAnsiTheme="majorBidi" w:cstheme="majorBidi"/>
          <w:sz w:val="28"/>
          <w:szCs w:val="28"/>
        </w:rPr>
        <w:t xml:space="preserve">                    </w:t>
      </w:r>
      <w:proofErr w:type="spellStart"/>
      <w:r w:rsidRPr="000901E4">
        <w:rPr>
          <w:rFonts w:asciiTheme="majorBidi" w:hAnsiTheme="majorBidi" w:cstheme="majorBidi"/>
          <w:sz w:val="28"/>
          <w:szCs w:val="28"/>
        </w:rPr>
        <w:t>Dr.Mohammed</w:t>
      </w:r>
      <w:proofErr w:type="spellEnd"/>
      <w:r w:rsidRPr="000901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01E4">
        <w:rPr>
          <w:rFonts w:asciiTheme="majorBidi" w:hAnsiTheme="majorBidi" w:cstheme="majorBidi"/>
          <w:sz w:val="28"/>
          <w:szCs w:val="28"/>
        </w:rPr>
        <w:t>Alaraji</w:t>
      </w:r>
      <w:proofErr w:type="spellEnd"/>
      <w:r w:rsidR="006D0DB5" w:rsidRPr="000901E4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8F4E27" w:rsidRPr="001A453D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="006D0DB5" w:rsidRPr="00B17488">
        <w:rPr>
          <w:rFonts w:asciiTheme="majorBidi" w:hAnsiTheme="majorBidi" w:cstheme="majorBidi"/>
          <w:sz w:val="28"/>
          <w:szCs w:val="28"/>
        </w:rPr>
        <w:t xml:space="preserve"> </w:t>
      </w:r>
      <w:r w:rsidR="008F4E27" w:rsidRPr="001A453D">
        <w:rPr>
          <w:rFonts w:asciiTheme="majorBidi" w:hAnsiTheme="majorBidi" w:cstheme="majorBidi"/>
          <w:b/>
          <w:bCs/>
          <w:color w:val="002060"/>
          <w:sz w:val="32"/>
          <w:szCs w:val="32"/>
        </w:rPr>
        <w:t>Infective Endocarditis</w:t>
      </w:r>
    </w:p>
    <w:p w:rsidR="00B95946" w:rsidRPr="00EB49FB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Infective endocarditis (IE) is defined </w:t>
      </w:r>
      <w:r w:rsidR="006D0DB5"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as a microbial infection of the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endothelial surface of the heart or heart valves that most often occurs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in proximity to congenital or acquired cardiac defects. Its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intracardiac</w:t>
      </w:r>
      <w:proofErr w:type="spellEnd"/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effects include severe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valvular</w:t>
      </w:r>
      <w:proofErr w:type="spell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i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nsufficiency, which may lead to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intractable congestive heart fa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ilure and myocardial </w:t>
      </w:r>
      <w:proofErr w:type="gramStart"/>
      <w:r w:rsidR="00EB49FB">
        <w:rPr>
          <w:rFonts w:asciiTheme="majorBidi" w:hAnsiTheme="majorBidi" w:cstheme="majorBidi"/>
          <w:color w:val="000000"/>
          <w:sz w:val="28"/>
          <w:szCs w:val="28"/>
        </w:rPr>
        <w:t>abscesses,</w:t>
      </w:r>
      <w:proofErr w:type="gramEnd"/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therefore, emphasis has long been directed toward its prevention.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Although bacteria most often cause 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these diseases, fungi and other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microorganisms may also cause infe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ction; thus, the term infective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endocarditis (IE) is used to reflect this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multimicrobial</w:t>
      </w:r>
      <w:proofErr w:type="spell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origin.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7488">
        <w:rPr>
          <w:rFonts w:asciiTheme="majorBidi" w:hAnsiTheme="majorBidi" w:cstheme="majorBidi"/>
          <w:b/>
          <w:bCs/>
          <w:sz w:val="28"/>
          <w:szCs w:val="28"/>
        </w:rPr>
        <w:t xml:space="preserve">Predisposing conditions </w:t>
      </w:r>
      <w:r w:rsidRPr="00B17488">
        <w:rPr>
          <w:rFonts w:asciiTheme="majorBidi" w:hAnsiTheme="majorBidi" w:cstheme="majorBidi"/>
          <w:sz w:val="28"/>
          <w:szCs w:val="28"/>
        </w:rPr>
        <w:t>attributed to IE include:</w:t>
      </w:r>
    </w:p>
    <w:p w:rsidR="00EB49FB" w:rsidRPr="008E2B17" w:rsidRDefault="008F4E27" w:rsidP="008E2B1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B17">
        <w:rPr>
          <w:rFonts w:asciiTheme="majorBidi" w:hAnsiTheme="majorBidi" w:cstheme="majorBidi"/>
          <w:sz w:val="28"/>
          <w:szCs w:val="28"/>
        </w:rPr>
        <w:t xml:space="preserve">Mitral valve prolapse </w:t>
      </w:r>
    </w:p>
    <w:p w:rsidR="00EB49FB" w:rsidRPr="008E2B17" w:rsidRDefault="008F4E27" w:rsidP="008E2B1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B17">
        <w:rPr>
          <w:rFonts w:asciiTheme="majorBidi" w:hAnsiTheme="majorBidi" w:cstheme="majorBidi"/>
          <w:sz w:val="28"/>
          <w:szCs w:val="28"/>
        </w:rPr>
        <w:t xml:space="preserve">Aortic valve disease </w:t>
      </w:r>
    </w:p>
    <w:p w:rsidR="008F4E27" w:rsidRPr="008E2B17" w:rsidRDefault="008F4E27" w:rsidP="008E2B1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B17">
        <w:rPr>
          <w:rFonts w:asciiTheme="majorBidi" w:hAnsiTheme="majorBidi" w:cstheme="majorBidi"/>
          <w:sz w:val="28"/>
          <w:szCs w:val="28"/>
        </w:rPr>
        <w:t xml:space="preserve">Congenital heart disease </w:t>
      </w:r>
    </w:p>
    <w:p w:rsidR="008F4E27" w:rsidRPr="008E2B17" w:rsidRDefault="008F4E27" w:rsidP="008E2B1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2B17">
        <w:rPr>
          <w:rFonts w:asciiTheme="majorBidi" w:hAnsiTheme="majorBidi" w:cstheme="majorBidi"/>
          <w:sz w:val="28"/>
          <w:szCs w:val="28"/>
        </w:rPr>
        <w:t xml:space="preserve">Prosthetic valve 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B17488">
        <w:rPr>
          <w:rFonts w:asciiTheme="majorBidi" w:hAnsiTheme="majorBidi" w:cstheme="majorBidi"/>
          <w:b/>
          <w:bCs/>
          <w:color w:val="C10000"/>
          <w:sz w:val="28"/>
          <w:szCs w:val="28"/>
        </w:rPr>
        <w:t>Etiology</w:t>
      </w:r>
    </w:p>
    <w:p w:rsidR="008F4E27" w:rsidRPr="008E2B17" w:rsidRDefault="008F4E27" w:rsidP="008E2B1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E2B17">
        <w:rPr>
          <w:rFonts w:asciiTheme="majorBidi" w:hAnsiTheme="majorBidi" w:cstheme="majorBidi"/>
          <w:color w:val="000000"/>
          <w:sz w:val="28"/>
          <w:szCs w:val="28"/>
        </w:rPr>
        <w:t>Streptococci are the most common cause of IE 30%-65%, of which</w:t>
      </w:r>
      <w:r w:rsidR="008E2B17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streptococci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viridans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(alpha-hem</w:t>
      </w:r>
      <w:r w:rsidR="00EB49FB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olytic streptococci), which are </w:t>
      </w:r>
      <w:r w:rsidRPr="008E2B17">
        <w:rPr>
          <w:rFonts w:asciiTheme="majorBidi" w:hAnsiTheme="majorBidi" w:cstheme="majorBidi"/>
          <w:color w:val="000000"/>
          <w:sz w:val="28"/>
          <w:szCs w:val="28"/>
        </w:rPr>
        <w:t>normal constituents of the oral flora and gastrointestinal tract</w:t>
      </w:r>
      <w:r w:rsidR="00EB49FB" w:rsidRPr="008E2B1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F4E27" w:rsidRPr="008E2B17" w:rsidRDefault="008F4E27" w:rsidP="008E2B1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E2B17">
        <w:rPr>
          <w:rFonts w:asciiTheme="majorBidi" w:hAnsiTheme="majorBidi" w:cstheme="majorBidi"/>
          <w:color w:val="000000"/>
          <w:sz w:val="28"/>
          <w:szCs w:val="28"/>
        </w:rPr>
        <w:t>Staphylococci are the cause of at least 30%-40% of cases of IE; mostly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E2B17">
        <w:rPr>
          <w:rFonts w:asciiTheme="majorBidi" w:hAnsiTheme="majorBidi" w:cstheme="majorBidi"/>
          <w:color w:val="000000"/>
          <w:sz w:val="28"/>
          <w:szCs w:val="28"/>
        </w:rPr>
        <w:t>coagulase-positive Staphylo</w:t>
      </w:r>
      <w:r w:rsidR="00EB49FB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coccus </w:t>
      </w:r>
    </w:p>
    <w:p w:rsidR="008F4E27" w:rsidRPr="008E2B17" w:rsidRDefault="008F4E27" w:rsidP="008E2B1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In some recent studies, S.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aureus</w:t>
      </w:r>
      <w:proofErr w:type="spellEnd"/>
      <w:r w:rsidR="00EB49FB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has emerged as the most common </w:t>
      </w:r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cause of IE and rates of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viridans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streptococci have decreased.</w:t>
      </w:r>
    </w:p>
    <w:p w:rsidR="008F4E27" w:rsidRPr="008E2B17" w:rsidRDefault="008F4E27" w:rsidP="008E2B1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E2B17">
        <w:rPr>
          <w:rFonts w:asciiTheme="majorBidi" w:hAnsiTheme="majorBidi" w:cstheme="majorBidi"/>
          <w:color w:val="000000"/>
          <w:sz w:val="28"/>
          <w:szCs w:val="28"/>
        </w:rPr>
        <w:t>Other microbial agents that less commonly cause IE such as the</w:t>
      </w:r>
      <w:r w:rsidR="008E2B17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E2B17">
        <w:rPr>
          <w:rFonts w:asciiTheme="majorBidi" w:hAnsiTheme="majorBidi" w:cstheme="majorBidi"/>
          <w:color w:val="000000"/>
          <w:sz w:val="28"/>
          <w:szCs w:val="28"/>
        </w:rPr>
        <w:t>HACEK group (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Haemophilus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Actinobacillus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Cardiobacterium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8E2B17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Eikenella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Kingella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), Pseudomonas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aeruginosa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Corynebacterium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8E2B17"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Bacteroides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E2B17">
        <w:rPr>
          <w:rFonts w:asciiTheme="majorBidi" w:hAnsiTheme="majorBidi" w:cstheme="majorBidi"/>
          <w:color w:val="000000"/>
          <w:sz w:val="28"/>
          <w:szCs w:val="28"/>
        </w:rPr>
        <w:t>fragilis</w:t>
      </w:r>
      <w:proofErr w:type="spellEnd"/>
      <w:r w:rsidRPr="008E2B17">
        <w:rPr>
          <w:rFonts w:asciiTheme="majorBidi" w:hAnsiTheme="majorBidi" w:cstheme="majorBidi"/>
          <w:color w:val="000000"/>
          <w:sz w:val="28"/>
          <w:szCs w:val="28"/>
        </w:rPr>
        <w:t>, and fungi.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B17488">
        <w:rPr>
          <w:rFonts w:asciiTheme="majorBidi" w:hAnsiTheme="majorBidi" w:cstheme="majorBidi"/>
          <w:b/>
          <w:bCs/>
          <w:color w:val="C10000"/>
          <w:sz w:val="28"/>
          <w:szCs w:val="28"/>
        </w:rPr>
        <w:lastRenderedPageBreak/>
        <w:t>Signs and symptoms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Theme="majorBidi" w:hAnsiTheme="majorBidi" w:cstheme="majorBidi"/>
          <w:color w:val="000000"/>
          <w:sz w:val="28"/>
          <w:szCs w:val="28"/>
        </w:rPr>
        <w:t>The clinical presentation may be varied; the interval between the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presumed initiating bacteremia and the onset of symptoms of IE is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estimated to be less than 2 weeks in more than 80% of patients.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Fever (most common).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Heart murmur.</w:t>
      </w:r>
      <w:proofErr w:type="gramEnd"/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Petechiae</w:t>
      </w:r>
      <w:proofErr w:type="spell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of the palpebral conjunctiva, the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buccal</w:t>
      </w:r>
      <w:proofErr w:type="spell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and palatal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mucosa, and extremities.</w:t>
      </w:r>
      <w:proofErr w:type="gramEnd"/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Osler's nodes (small, tender, subcutaneous nodules that develop in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the pulp of the digits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B17488">
        <w:rPr>
          <w:rFonts w:asciiTheme="majorBidi" w:hAnsiTheme="majorBidi" w:cstheme="majorBidi"/>
          <w:color w:val="000000"/>
          <w:sz w:val="28"/>
          <w:szCs w:val="28"/>
        </w:rPr>
        <w:t>small</w:t>
      </w:r>
      <w:proofErr w:type="gramEnd"/>
      <w:r w:rsidRPr="00B17488">
        <w:rPr>
          <w:rFonts w:asciiTheme="majorBidi" w:hAnsiTheme="majorBidi" w:cstheme="majorBidi"/>
          <w:color w:val="000000"/>
          <w:sz w:val="28"/>
          <w:szCs w:val="28"/>
        </w:rPr>
        <w:t>, erythematous or hemorrhagic, macular</w:t>
      </w:r>
      <w:r w:rsidR="00090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B49FB" w:rsidRPr="00B17488">
        <w:rPr>
          <w:rFonts w:asciiTheme="majorBidi" w:hAnsiTheme="majorBidi" w:cstheme="majorBidi"/>
          <w:color w:val="000000"/>
          <w:sz w:val="28"/>
          <w:szCs w:val="28"/>
        </w:rPr>
        <w:t>N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>on</w:t>
      </w:r>
      <w:r w:rsidR="00EB49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E2B17">
        <w:rPr>
          <w:rFonts w:asciiTheme="majorBidi" w:hAnsiTheme="majorBidi" w:cstheme="majorBidi"/>
          <w:color w:val="000000"/>
          <w:sz w:val="28"/>
          <w:szCs w:val="28"/>
        </w:rPr>
        <w:t xml:space="preserve">tender lesions on the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palms and soles). 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Splinter hemorrhages in the nail beds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Roth spots (oval retinal hemorrhages with pale centers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Splenomegaly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B17488">
        <w:rPr>
          <w:rFonts w:asciiTheme="majorBidi" w:hAnsiTheme="majorBidi" w:cstheme="majorBidi"/>
          <w:color w:val="000000"/>
          <w:sz w:val="28"/>
          <w:szCs w:val="28"/>
        </w:rPr>
        <w:t>Clubbing</w:t>
      </w:r>
      <w:proofErr w:type="gram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of the digits.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17488">
        <w:rPr>
          <w:rFonts w:ascii="Times New Roman" w:hAnsi="Times New Roman" w:cs="Times New Roman"/>
          <w:color w:val="000000"/>
          <w:sz w:val="28"/>
          <w:szCs w:val="28"/>
        </w:rPr>
        <w:t>􀀹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Positive blood cultures in most cases. </w:t>
      </w:r>
    </w:p>
    <w:p w:rsidR="008F4E27" w:rsidRPr="00723860" w:rsidRDefault="00723860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10000"/>
          <w:sz w:val="28"/>
          <w:szCs w:val="28"/>
        </w:rPr>
        <w:t>Diagnosis</w:t>
      </w:r>
    </w:p>
    <w:p w:rsidR="008F4E27" w:rsidRPr="00B17488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17488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Positive blood cultures.</w:t>
      </w:r>
      <w:proofErr w:type="gramEnd"/>
    </w:p>
    <w:p w:rsidR="008F4E27" w:rsidRPr="00723860" w:rsidRDefault="008F4E27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B17488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Evidence of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endocard</w:t>
      </w:r>
      <w:r w:rsidR="00723860">
        <w:rPr>
          <w:rFonts w:asciiTheme="majorBidi" w:hAnsiTheme="majorBidi" w:cstheme="majorBidi"/>
          <w:color w:val="000000"/>
          <w:sz w:val="28"/>
          <w:szCs w:val="28"/>
        </w:rPr>
        <w:t>ial</w:t>
      </w:r>
      <w:proofErr w:type="spellEnd"/>
      <w:r w:rsidR="00723860">
        <w:rPr>
          <w:rFonts w:asciiTheme="majorBidi" w:hAnsiTheme="majorBidi" w:cstheme="majorBidi"/>
          <w:color w:val="000000"/>
          <w:sz w:val="28"/>
          <w:szCs w:val="28"/>
        </w:rPr>
        <w:t xml:space="preserve"> involvement (e.g., positive </w:t>
      </w:r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echocardiography, presence of new </w:t>
      </w:r>
      <w:proofErr w:type="spellStart"/>
      <w:r w:rsidRPr="00B17488">
        <w:rPr>
          <w:rFonts w:asciiTheme="majorBidi" w:hAnsiTheme="majorBidi" w:cstheme="majorBidi"/>
          <w:color w:val="000000"/>
          <w:sz w:val="28"/>
          <w:szCs w:val="28"/>
        </w:rPr>
        <w:t>valvular</w:t>
      </w:r>
      <w:proofErr w:type="spellEnd"/>
      <w:r w:rsidRPr="00B17488">
        <w:rPr>
          <w:rFonts w:asciiTheme="majorBidi" w:hAnsiTheme="majorBidi" w:cstheme="majorBidi"/>
          <w:color w:val="000000"/>
          <w:sz w:val="28"/>
          <w:szCs w:val="28"/>
        </w:rPr>
        <w:t xml:space="preserve"> regurgitation.</w:t>
      </w:r>
      <w:proofErr w:type="gramEnd"/>
    </w:p>
    <w:p w:rsidR="006D0DB5" w:rsidRPr="00B17488" w:rsidRDefault="006D0DB5" w:rsidP="008E2B1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17488">
        <w:rPr>
          <w:rFonts w:asciiTheme="majorBidi" w:hAnsiTheme="majorBidi" w:cstheme="majorBidi"/>
          <w:b/>
          <w:bCs/>
          <w:color w:val="C10000"/>
          <w:sz w:val="28"/>
          <w:szCs w:val="28"/>
        </w:rPr>
        <w:t>Dental management</w:t>
      </w:r>
    </w:p>
    <w:p w:rsidR="006D0DB5" w:rsidRPr="00723860" w:rsidRDefault="006D0DB5" w:rsidP="008E2B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3860">
        <w:rPr>
          <w:rFonts w:asciiTheme="majorBidi" w:hAnsiTheme="majorBidi" w:cstheme="majorBidi"/>
          <w:sz w:val="28"/>
          <w:szCs w:val="28"/>
        </w:rPr>
        <w:t>The dentist should identify from history taking those patients with</w:t>
      </w:r>
      <w:r w:rsidR="00723860">
        <w:rPr>
          <w:rFonts w:asciiTheme="majorBidi" w:hAnsiTheme="majorBidi" w:cstheme="majorBidi"/>
          <w:sz w:val="28"/>
          <w:szCs w:val="28"/>
        </w:rPr>
        <w:t xml:space="preserve"> </w:t>
      </w:r>
      <w:r w:rsidRPr="00723860">
        <w:rPr>
          <w:rFonts w:asciiTheme="majorBidi" w:hAnsiTheme="majorBidi" w:cstheme="majorBidi"/>
          <w:sz w:val="28"/>
          <w:szCs w:val="28"/>
        </w:rPr>
        <w:t>cardiac conditions that increase risk for IE</w:t>
      </w:r>
      <w:r w:rsidR="00723860">
        <w:rPr>
          <w:rFonts w:asciiTheme="majorBidi" w:hAnsiTheme="majorBidi" w:cstheme="majorBidi"/>
          <w:sz w:val="28"/>
          <w:szCs w:val="28"/>
        </w:rPr>
        <w:t>.</w:t>
      </w:r>
    </w:p>
    <w:p w:rsidR="006D0DB5" w:rsidRPr="00723860" w:rsidRDefault="006D0DB5" w:rsidP="008E2B1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3860">
        <w:rPr>
          <w:rFonts w:asciiTheme="majorBidi" w:hAnsiTheme="majorBidi" w:cstheme="majorBidi"/>
          <w:sz w:val="28"/>
          <w:szCs w:val="28"/>
        </w:rPr>
        <w:t>The basic assumption is that IE is most often due to a bacteremia</w:t>
      </w:r>
    </w:p>
    <w:p w:rsidR="006D0DB5" w:rsidRPr="00B17488" w:rsidRDefault="00723860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="006D0DB5" w:rsidRPr="00B17488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="006D0DB5" w:rsidRPr="00B17488">
        <w:rPr>
          <w:rFonts w:asciiTheme="majorBidi" w:hAnsiTheme="majorBidi" w:cstheme="majorBidi"/>
          <w:sz w:val="28"/>
          <w:szCs w:val="28"/>
        </w:rPr>
        <w:t xml:space="preserve"> results f</w:t>
      </w:r>
      <w:bookmarkStart w:id="0" w:name="_GoBack"/>
      <w:bookmarkEnd w:id="0"/>
      <w:r w:rsidR="006D0DB5" w:rsidRPr="00B17488">
        <w:rPr>
          <w:rFonts w:asciiTheme="majorBidi" w:hAnsiTheme="majorBidi" w:cstheme="majorBidi"/>
          <w:sz w:val="28"/>
          <w:szCs w:val="28"/>
        </w:rPr>
        <w:t>rom an invasive dental procedure, and that through the</w:t>
      </w:r>
    </w:p>
    <w:p w:rsidR="006D0DB5" w:rsidRPr="00B17488" w:rsidRDefault="00723860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 w:rsidR="006D0DB5" w:rsidRPr="00B17488">
        <w:rPr>
          <w:rFonts w:asciiTheme="majorBidi" w:hAnsiTheme="majorBidi" w:cstheme="majorBidi"/>
          <w:sz w:val="28"/>
          <w:szCs w:val="28"/>
        </w:rPr>
        <w:t>administration</w:t>
      </w:r>
      <w:proofErr w:type="gramEnd"/>
      <w:r w:rsidR="006D0DB5" w:rsidRPr="00B17488">
        <w:rPr>
          <w:rFonts w:asciiTheme="majorBidi" w:hAnsiTheme="majorBidi" w:cstheme="majorBidi"/>
          <w:sz w:val="28"/>
          <w:szCs w:val="28"/>
        </w:rPr>
        <w:t xml:space="preserve"> of antibiotics prior to those procedures, IE could be</w:t>
      </w:r>
    </w:p>
    <w:p w:rsidR="006D0DB5" w:rsidRPr="00B17488" w:rsidRDefault="00723860" w:rsidP="008E2B1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="006D0DB5" w:rsidRPr="00B17488">
        <w:rPr>
          <w:rFonts w:asciiTheme="majorBidi" w:hAnsiTheme="majorBidi" w:cstheme="majorBidi"/>
          <w:sz w:val="28"/>
          <w:szCs w:val="28"/>
        </w:rPr>
        <w:t>prevented</w:t>
      </w:r>
      <w:proofErr w:type="gramEnd"/>
      <w:r w:rsidR="006D0DB5" w:rsidRPr="00B17488">
        <w:rPr>
          <w:rFonts w:asciiTheme="majorBidi" w:hAnsiTheme="majorBidi" w:cstheme="majorBidi"/>
          <w:sz w:val="28"/>
          <w:szCs w:val="28"/>
        </w:rPr>
        <w:t>.</w:t>
      </w:r>
    </w:p>
    <w:p w:rsidR="006D0DB5" w:rsidRPr="00723860" w:rsidRDefault="006D0DB5" w:rsidP="008E2B1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3860">
        <w:rPr>
          <w:rFonts w:asciiTheme="majorBidi" w:hAnsiTheme="majorBidi" w:cstheme="majorBidi"/>
          <w:sz w:val="28"/>
          <w:szCs w:val="28"/>
        </w:rPr>
        <w:lastRenderedPageBreak/>
        <w:t xml:space="preserve">The following procedures and events </w:t>
      </w:r>
      <w:r w:rsidRPr="00723860">
        <w:rPr>
          <w:rFonts w:asciiTheme="majorBidi" w:hAnsiTheme="majorBidi" w:cstheme="majorBidi"/>
          <w:b/>
          <w:bCs/>
          <w:sz w:val="28"/>
          <w:szCs w:val="28"/>
        </w:rPr>
        <w:t xml:space="preserve">do not </w:t>
      </w:r>
      <w:r w:rsidRPr="00723860">
        <w:rPr>
          <w:rFonts w:asciiTheme="majorBidi" w:hAnsiTheme="majorBidi" w:cstheme="majorBidi"/>
          <w:sz w:val="28"/>
          <w:szCs w:val="28"/>
        </w:rPr>
        <w:t>need prophylaxis:</w:t>
      </w:r>
    </w:p>
    <w:p w:rsidR="006D0DB5" w:rsidRPr="00B17488" w:rsidRDefault="006D0DB5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17488">
        <w:rPr>
          <w:rFonts w:asciiTheme="majorBidi" w:hAnsiTheme="majorBidi" w:cstheme="majorBidi"/>
          <w:sz w:val="28"/>
          <w:szCs w:val="28"/>
        </w:rPr>
        <w:t>routine</w:t>
      </w:r>
      <w:proofErr w:type="gramEnd"/>
      <w:r w:rsidRPr="00B17488">
        <w:rPr>
          <w:rFonts w:asciiTheme="majorBidi" w:hAnsiTheme="majorBidi" w:cstheme="majorBidi"/>
          <w:sz w:val="28"/>
          <w:szCs w:val="28"/>
        </w:rPr>
        <w:t xml:space="preserve"> anesthetic injecti</w:t>
      </w:r>
      <w:r w:rsidR="00723860">
        <w:rPr>
          <w:rFonts w:asciiTheme="majorBidi" w:hAnsiTheme="majorBidi" w:cstheme="majorBidi"/>
          <w:sz w:val="28"/>
          <w:szCs w:val="28"/>
        </w:rPr>
        <w:t xml:space="preserve">ons through </w:t>
      </w:r>
      <w:proofErr w:type="spellStart"/>
      <w:r w:rsidR="00723860">
        <w:rPr>
          <w:rFonts w:asciiTheme="majorBidi" w:hAnsiTheme="majorBidi" w:cstheme="majorBidi"/>
          <w:sz w:val="28"/>
          <w:szCs w:val="28"/>
        </w:rPr>
        <w:t>noninfected</w:t>
      </w:r>
      <w:proofErr w:type="spellEnd"/>
      <w:r w:rsidR="00723860">
        <w:rPr>
          <w:rFonts w:asciiTheme="majorBidi" w:hAnsiTheme="majorBidi" w:cstheme="majorBidi"/>
          <w:sz w:val="28"/>
          <w:szCs w:val="28"/>
        </w:rPr>
        <w:t xml:space="preserve"> tissue, </w:t>
      </w:r>
      <w:r w:rsidRPr="00B17488">
        <w:rPr>
          <w:rFonts w:asciiTheme="majorBidi" w:hAnsiTheme="majorBidi" w:cstheme="majorBidi"/>
          <w:sz w:val="28"/>
          <w:szCs w:val="28"/>
        </w:rPr>
        <w:t>restorative dentistry, taking d</w:t>
      </w:r>
      <w:r w:rsidR="00723860">
        <w:rPr>
          <w:rFonts w:asciiTheme="majorBidi" w:hAnsiTheme="majorBidi" w:cstheme="majorBidi"/>
          <w:sz w:val="28"/>
          <w:szCs w:val="28"/>
        </w:rPr>
        <w:t xml:space="preserve">ental radiographs, placement of </w:t>
      </w:r>
      <w:r w:rsidRPr="00B17488">
        <w:rPr>
          <w:rFonts w:asciiTheme="majorBidi" w:hAnsiTheme="majorBidi" w:cstheme="majorBidi"/>
          <w:sz w:val="28"/>
          <w:szCs w:val="28"/>
        </w:rPr>
        <w:t xml:space="preserve">removable </w:t>
      </w:r>
      <w:proofErr w:type="spellStart"/>
      <w:r w:rsidRPr="00B17488">
        <w:rPr>
          <w:rFonts w:asciiTheme="majorBidi" w:hAnsiTheme="majorBidi" w:cstheme="majorBidi"/>
          <w:sz w:val="28"/>
          <w:szCs w:val="28"/>
        </w:rPr>
        <w:t>prosthodontic</w:t>
      </w:r>
      <w:proofErr w:type="spellEnd"/>
      <w:r w:rsidRPr="00B17488">
        <w:rPr>
          <w:rFonts w:asciiTheme="majorBidi" w:hAnsiTheme="majorBidi" w:cstheme="majorBidi"/>
          <w:sz w:val="28"/>
          <w:szCs w:val="28"/>
        </w:rPr>
        <w:t xml:space="preserve"> or orthodontic </w:t>
      </w:r>
      <w:r w:rsidR="00723860">
        <w:rPr>
          <w:rFonts w:asciiTheme="majorBidi" w:hAnsiTheme="majorBidi" w:cstheme="majorBidi"/>
          <w:sz w:val="28"/>
          <w:szCs w:val="28"/>
        </w:rPr>
        <w:t xml:space="preserve">appliances, adjustment </w:t>
      </w:r>
      <w:r w:rsidRPr="00B17488">
        <w:rPr>
          <w:rFonts w:asciiTheme="majorBidi" w:hAnsiTheme="majorBidi" w:cstheme="majorBidi"/>
          <w:sz w:val="28"/>
          <w:szCs w:val="28"/>
        </w:rPr>
        <w:t>of orthodontic appliances, pla</w:t>
      </w:r>
      <w:r w:rsidR="00723860">
        <w:rPr>
          <w:rFonts w:asciiTheme="majorBidi" w:hAnsiTheme="majorBidi" w:cstheme="majorBidi"/>
          <w:sz w:val="28"/>
          <w:szCs w:val="28"/>
        </w:rPr>
        <w:t xml:space="preserve">cement of orthodontic brackets, </w:t>
      </w:r>
      <w:r w:rsidRPr="00B17488">
        <w:rPr>
          <w:rFonts w:asciiTheme="majorBidi" w:hAnsiTheme="majorBidi" w:cstheme="majorBidi"/>
          <w:sz w:val="28"/>
          <w:szCs w:val="28"/>
        </w:rPr>
        <w:t>shedding of deciduous teeth, suture removal, fluoride treatment</w:t>
      </w:r>
      <w:r w:rsidR="00723860">
        <w:rPr>
          <w:rFonts w:asciiTheme="majorBidi" w:hAnsiTheme="majorBidi" w:cstheme="majorBidi"/>
          <w:sz w:val="28"/>
          <w:szCs w:val="28"/>
        </w:rPr>
        <w:t xml:space="preserve"> </w:t>
      </w:r>
      <w:r w:rsidRPr="00B17488">
        <w:rPr>
          <w:rFonts w:asciiTheme="majorBidi" w:hAnsiTheme="majorBidi" w:cstheme="majorBidi"/>
          <w:sz w:val="28"/>
          <w:szCs w:val="28"/>
        </w:rPr>
        <w:t>and bleeding from trauma to the lips or oral mucosa.</w:t>
      </w:r>
    </w:p>
    <w:p w:rsidR="006D0DB5" w:rsidRDefault="006D0DB5" w:rsidP="008E2B1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3860">
        <w:rPr>
          <w:rFonts w:asciiTheme="majorBidi" w:hAnsiTheme="majorBidi" w:cstheme="majorBidi"/>
          <w:sz w:val="28"/>
          <w:szCs w:val="28"/>
        </w:rPr>
        <w:t xml:space="preserve">Preoperative use of 0.2% </w:t>
      </w:r>
      <w:proofErr w:type="spellStart"/>
      <w:r w:rsidRPr="00723860">
        <w:rPr>
          <w:rFonts w:asciiTheme="majorBidi" w:hAnsiTheme="majorBidi" w:cstheme="majorBidi"/>
          <w:sz w:val="28"/>
          <w:szCs w:val="28"/>
        </w:rPr>
        <w:t>Chlohexidine</w:t>
      </w:r>
      <w:proofErr w:type="spellEnd"/>
      <w:r w:rsidRPr="00723860">
        <w:rPr>
          <w:rFonts w:asciiTheme="majorBidi" w:hAnsiTheme="majorBidi" w:cstheme="majorBidi"/>
          <w:sz w:val="28"/>
          <w:szCs w:val="28"/>
        </w:rPr>
        <w:t xml:space="preserve"> mouth washes is</w:t>
      </w:r>
      <w:r w:rsidR="00723860">
        <w:rPr>
          <w:rFonts w:asciiTheme="majorBidi" w:hAnsiTheme="majorBidi" w:cstheme="majorBidi"/>
          <w:sz w:val="28"/>
          <w:szCs w:val="28"/>
        </w:rPr>
        <w:t xml:space="preserve"> </w:t>
      </w:r>
      <w:r w:rsidRPr="00723860">
        <w:rPr>
          <w:rFonts w:asciiTheme="majorBidi" w:hAnsiTheme="majorBidi" w:cstheme="majorBidi"/>
          <w:sz w:val="28"/>
          <w:szCs w:val="28"/>
        </w:rPr>
        <w:t>Advisable</w:t>
      </w:r>
    </w:p>
    <w:p w:rsidR="005A23AA" w:rsidRPr="005A23AA" w:rsidRDefault="005A23AA" w:rsidP="008E2B1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3AA">
        <w:rPr>
          <w:rFonts w:asciiTheme="majorBidi" w:hAnsiTheme="majorBidi" w:cstheme="majorBidi"/>
          <w:sz w:val="28"/>
          <w:szCs w:val="28"/>
        </w:rPr>
        <w:t>In case of prolonged dental procedures (longer than 6 hours) it is advisable to administer an additional prophylactic dose (same dose).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0901E4">
        <w:rPr>
          <w:rFonts w:asciiTheme="majorBidi" w:hAnsiTheme="majorBidi" w:cstheme="majorBidi"/>
          <w:b/>
          <w:bCs/>
          <w:color w:val="00B050"/>
          <w:sz w:val="32"/>
          <w:szCs w:val="32"/>
        </w:rPr>
        <w:t>Antibiotic Prophylaxis Regimens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All doses shown below are administered once as a single dose 30-60 min before the procedure.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i/>
          <w:iCs/>
          <w:color w:val="00B050"/>
          <w:sz w:val="28"/>
          <w:szCs w:val="28"/>
        </w:rPr>
        <w:t>Standard general prophylaxis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Amoxicillin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2 g PO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50 mg/kg PO; not to exceed 2 g/dose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i/>
          <w:iCs/>
          <w:color w:val="00B050"/>
          <w:sz w:val="28"/>
          <w:szCs w:val="28"/>
        </w:rPr>
        <w:t>Unable to take oral medication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Ampicillin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2 g IV/IM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50 mg/kg IV/IM; not to exceed 2 g/dose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i/>
          <w:iCs/>
          <w:color w:val="00B050"/>
          <w:sz w:val="28"/>
          <w:szCs w:val="28"/>
        </w:rPr>
        <w:t>Allergic to penicillin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Clindamycin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600 mg PO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20 mg/kg PO; not to exceed 600 mg/dose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i/>
          <w:iCs/>
          <w:color w:val="00B050"/>
          <w:sz w:val="28"/>
          <w:szCs w:val="28"/>
        </w:rPr>
        <w:lastRenderedPageBreak/>
        <w:t>Allergic to penicillin</w:t>
      </w:r>
    </w:p>
    <w:p w:rsidR="00F056EB" w:rsidRPr="000901E4" w:rsidRDefault="00F056EB" w:rsidP="008E2B17">
      <w:pPr>
        <w:bidi w:val="0"/>
        <w:spacing w:line="36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 xml:space="preserve">Cephalexin or other first- or second-generation oral cephalosporin in equivalent dose (do not use </w:t>
      </w:r>
      <w:proofErr w:type="spellStart"/>
      <w:r w:rsidRPr="000901E4">
        <w:rPr>
          <w:rFonts w:asciiTheme="majorBidi" w:hAnsiTheme="majorBidi" w:cstheme="majorBidi"/>
          <w:color w:val="00B050"/>
          <w:sz w:val="28"/>
          <w:szCs w:val="28"/>
        </w:rPr>
        <w:t>cephalosporins</w:t>
      </w:r>
      <w:proofErr w:type="spellEnd"/>
      <w:r w:rsidRPr="000901E4">
        <w:rPr>
          <w:rFonts w:asciiTheme="majorBidi" w:hAnsiTheme="majorBidi" w:cstheme="majorBidi"/>
          <w:color w:val="00B050"/>
          <w:sz w:val="28"/>
          <w:szCs w:val="28"/>
        </w:rPr>
        <w:t xml:space="preserve"> in patients with a history of</w:t>
      </w:r>
    </w:p>
    <w:p w:rsidR="00F056EB" w:rsidRPr="000901E4" w:rsidRDefault="00F056EB" w:rsidP="008E2B17">
      <w:pPr>
        <w:bidi w:val="0"/>
        <w:spacing w:line="36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proofErr w:type="gramStart"/>
      <w:r w:rsidRPr="000901E4">
        <w:rPr>
          <w:rFonts w:asciiTheme="majorBidi" w:hAnsiTheme="majorBidi" w:cstheme="majorBidi"/>
          <w:color w:val="00B050"/>
          <w:sz w:val="28"/>
          <w:szCs w:val="28"/>
        </w:rPr>
        <w:t>immediate-type</w:t>
      </w:r>
      <w:proofErr w:type="gramEnd"/>
      <w:r w:rsidRPr="000901E4">
        <w:rPr>
          <w:rFonts w:asciiTheme="majorBidi" w:hAnsiTheme="majorBidi" w:cstheme="majorBidi"/>
          <w:color w:val="00B050"/>
          <w:sz w:val="28"/>
          <w:szCs w:val="28"/>
        </w:rPr>
        <w:t xml:space="preserve"> hypersensitivity penicillin allergy, such as </w:t>
      </w:r>
      <w:proofErr w:type="spellStart"/>
      <w:r w:rsidRPr="000901E4">
        <w:rPr>
          <w:rFonts w:asciiTheme="majorBidi" w:hAnsiTheme="majorBidi" w:cstheme="majorBidi"/>
          <w:color w:val="00B050"/>
          <w:sz w:val="28"/>
          <w:szCs w:val="28"/>
        </w:rPr>
        <w:t>urticaria</w:t>
      </w:r>
      <w:proofErr w:type="spellEnd"/>
      <w:r w:rsidRPr="000901E4">
        <w:rPr>
          <w:rFonts w:asciiTheme="majorBidi" w:hAnsiTheme="majorBidi" w:cstheme="majorBidi"/>
          <w:color w:val="00B050"/>
          <w:sz w:val="28"/>
          <w:szCs w:val="28"/>
        </w:rPr>
        <w:t>, angioedema, anaphylaxis)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2 g PO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50 mg/kg PO; not to exceed 2 g/dose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Azithromycin or clarithromycin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500 mg PO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15 mg/kg PO; not to exceed 500 mg/dose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i/>
          <w:iCs/>
          <w:color w:val="00B050"/>
          <w:sz w:val="28"/>
          <w:szCs w:val="28"/>
        </w:rPr>
        <w:t>Allergic to penicillin and unable to take oral medication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Clindamycin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600 mg IV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20 mg/kg IV; not to exceed 600 mg/dose</w:t>
      </w:r>
    </w:p>
    <w:p w:rsidR="00F056EB" w:rsidRPr="000901E4" w:rsidRDefault="00F056EB" w:rsidP="008E2B17">
      <w:pPr>
        <w:bidi w:val="0"/>
        <w:spacing w:line="36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proofErr w:type="spellStart"/>
      <w:r w:rsidRPr="000901E4">
        <w:rPr>
          <w:rFonts w:asciiTheme="majorBidi" w:hAnsiTheme="majorBidi" w:cstheme="majorBidi"/>
          <w:color w:val="00B050"/>
          <w:sz w:val="28"/>
          <w:szCs w:val="28"/>
        </w:rPr>
        <w:t>Cefazolin</w:t>
      </w:r>
      <w:proofErr w:type="spellEnd"/>
      <w:r w:rsidRPr="000901E4">
        <w:rPr>
          <w:rFonts w:asciiTheme="majorBidi" w:hAnsiTheme="majorBidi" w:cstheme="majorBidi"/>
          <w:color w:val="00B050"/>
          <w:sz w:val="28"/>
          <w:szCs w:val="28"/>
        </w:rPr>
        <w:t xml:space="preserve"> or ceftriaxone (do not use </w:t>
      </w:r>
      <w:proofErr w:type="spellStart"/>
      <w:r w:rsidRPr="000901E4">
        <w:rPr>
          <w:rFonts w:asciiTheme="majorBidi" w:hAnsiTheme="majorBidi" w:cstheme="majorBidi"/>
          <w:color w:val="00B050"/>
          <w:sz w:val="28"/>
          <w:szCs w:val="28"/>
        </w:rPr>
        <w:t>cephalosporins</w:t>
      </w:r>
      <w:proofErr w:type="spellEnd"/>
      <w:r w:rsidRPr="000901E4">
        <w:rPr>
          <w:rFonts w:asciiTheme="majorBidi" w:hAnsiTheme="majorBidi" w:cstheme="majorBidi"/>
          <w:color w:val="00B050"/>
          <w:sz w:val="28"/>
          <w:szCs w:val="28"/>
        </w:rPr>
        <w:t xml:space="preserve"> in patients with a history of immediate-type hypersensitivity penicillin allergy, such as</w:t>
      </w:r>
    </w:p>
    <w:p w:rsidR="00F056EB" w:rsidRPr="000901E4" w:rsidRDefault="00F056EB" w:rsidP="008E2B17">
      <w:pPr>
        <w:bidi w:val="0"/>
        <w:spacing w:line="36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proofErr w:type="spellStart"/>
      <w:proofErr w:type="gramStart"/>
      <w:r w:rsidRPr="000901E4">
        <w:rPr>
          <w:rFonts w:asciiTheme="majorBidi" w:hAnsiTheme="majorBidi" w:cstheme="majorBidi"/>
          <w:color w:val="00B050"/>
          <w:sz w:val="28"/>
          <w:szCs w:val="28"/>
        </w:rPr>
        <w:t>urticaria</w:t>
      </w:r>
      <w:proofErr w:type="spellEnd"/>
      <w:proofErr w:type="gramEnd"/>
      <w:r w:rsidRPr="000901E4">
        <w:rPr>
          <w:rFonts w:asciiTheme="majorBidi" w:hAnsiTheme="majorBidi" w:cstheme="majorBidi"/>
          <w:color w:val="00B050"/>
          <w:sz w:val="28"/>
          <w:szCs w:val="28"/>
        </w:rPr>
        <w:t>, angioedema, anaphylaxis)</w:t>
      </w:r>
    </w:p>
    <w:p w:rsidR="00F056EB" w:rsidRPr="000901E4" w:rsidRDefault="00F056EB" w:rsidP="008E2B17">
      <w:pPr>
        <w:bidi w:val="0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Adult dose: 1 g IV/IM</w:t>
      </w:r>
    </w:p>
    <w:p w:rsidR="00F056EB" w:rsidRDefault="00F056EB" w:rsidP="008E2B1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901E4">
        <w:rPr>
          <w:rFonts w:asciiTheme="majorBidi" w:hAnsiTheme="majorBidi" w:cstheme="majorBidi"/>
          <w:color w:val="00B050"/>
          <w:sz w:val="28"/>
          <w:szCs w:val="28"/>
        </w:rPr>
        <w:t>Pediatric dose: 50 mg/kg IV/IM; not to exceed 1 g/dose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0901E4">
        <w:rPr>
          <w:rFonts w:asciiTheme="majorBidi" w:hAnsiTheme="majorBidi" w:cstheme="majorBidi"/>
          <w:b/>
          <w:bCs/>
          <w:color w:val="002060"/>
          <w:sz w:val="28"/>
          <w:szCs w:val="28"/>
        </w:rPr>
        <w:t>Rheumatic fever and rheumatic heart disease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Theme="majorBidi" w:hAnsiTheme="majorBidi" w:cstheme="majorBidi"/>
          <w:color w:val="000000"/>
          <w:sz w:val="28"/>
          <w:szCs w:val="28"/>
        </w:rPr>
        <w:t>Rheumatic fever is an autoimmune inflammatory process that develops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0901E4">
        <w:rPr>
          <w:rFonts w:asciiTheme="majorBidi" w:hAnsiTheme="majorBidi" w:cstheme="majorBidi"/>
          <w:color w:val="000000"/>
          <w:sz w:val="28"/>
          <w:szCs w:val="28"/>
        </w:rPr>
        <w:t>after</w:t>
      </w:r>
      <w:proofErr w:type="gramEnd"/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pharyngeal infection with grou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p A beta-hemolytic streptococci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(streptococcus </w:t>
      </w:r>
      <w:proofErr w:type="spellStart"/>
      <w:r w:rsidRPr="000901E4">
        <w:rPr>
          <w:rFonts w:asciiTheme="majorBidi" w:hAnsiTheme="majorBidi" w:cstheme="majorBidi"/>
          <w:color w:val="000000"/>
          <w:sz w:val="28"/>
          <w:szCs w:val="28"/>
        </w:rPr>
        <w:t>pyogenes</w:t>
      </w:r>
      <w:proofErr w:type="spellEnd"/>
      <w:r w:rsidRPr="000901E4">
        <w:rPr>
          <w:rFonts w:asciiTheme="majorBidi" w:hAnsiTheme="majorBidi" w:cstheme="majorBidi"/>
          <w:color w:val="000000"/>
          <w:sz w:val="28"/>
          <w:szCs w:val="28"/>
        </w:rPr>
        <w:t>). It predominantly affects children between 5-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ears. Rheumatic fever ma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occasionally be follo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ed b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chronic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rheumatic </w:t>
      </w:r>
      <w:proofErr w:type="spellStart"/>
      <w:r w:rsidRPr="000901E4">
        <w:rPr>
          <w:rFonts w:asciiTheme="majorBidi" w:hAnsiTheme="majorBidi" w:cstheme="majorBidi"/>
          <w:color w:val="000000"/>
          <w:sz w:val="28"/>
          <w:szCs w:val="28"/>
        </w:rPr>
        <w:t>carditis</w:t>
      </w:r>
      <w:proofErr w:type="spellEnd"/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with permane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nt cardiac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valvular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damage that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appears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lastRenderedPageBreak/>
        <w:t>to be immunologically me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diated tissue damage, which may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lead to fibrosis and distortion of the cardiac valves (chronic rheumatic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heart disease).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C10000"/>
          <w:sz w:val="28"/>
          <w:szCs w:val="28"/>
        </w:rPr>
      </w:pPr>
      <w:r w:rsidRPr="000901E4">
        <w:rPr>
          <w:rFonts w:asciiTheme="majorBidi" w:hAnsiTheme="majorBidi" w:cstheme="majorBidi"/>
          <w:b/>
          <w:bCs/>
          <w:color w:val="C10000"/>
          <w:sz w:val="28"/>
          <w:szCs w:val="28"/>
        </w:rPr>
        <w:t>Dental management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0901E4">
        <w:rPr>
          <w:rFonts w:asciiTheme="majorBidi" w:hAnsiTheme="majorBidi" w:cstheme="majorBidi"/>
          <w:color w:val="000000"/>
          <w:sz w:val="28"/>
          <w:szCs w:val="28"/>
        </w:rPr>
        <w:t>Acute</w:t>
      </w:r>
      <w:proofErr w:type="gramEnd"/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rheumatic fever patients are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exceedingly unlikely to be seen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during an attack but emergency dental treatment may be necessary.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Patients with history of rheu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matic fever but without cardiac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involvement are treated as a normal person.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Most patients with chron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ic rheumatic heart diseases are </w:t>
      </w:r>
      <w:proofErr w:type="spellStart"/>
      <w:r w:rsidRPr="000901E4">
        <w:rPr>
          <w:rFonts w:asciiTheme="majorBidi" w:hAnsiTheme="majorBidi" w:cstheme="majorBidi"/>
          <w:color w:val="000000"/>
          <w:sz w:val="28"/>
          <w:szCs w:val="28"/>
        </w:rPr>
        <w:t>anticoagulated</w:t>
      </w:r>
      <w:proofErr w:type="spellEnd"/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and they should be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managed after determining their </w:t>
      </w:r>
      <w:proofErr w:type="spellStart"/>
      <w:r w:rsidRPr="000901E4">
        <w:rPr>
          <w:rFonts w:asciiTheme="majorBidi" w:hAnsiTheme="majorBidi" w:cstheme="majorBidi"/>
          <w:color w:val="000000"/>
          <w:sz w:val="28"/>
          <w:szCs w:val="28"/>
        </w:rPr>
        <w:t>prothrombin</w:t>
      </w:r>
      <w:proofErr w:type="spellEnd"/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time and INR and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the treatment can be done under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local anesthesia with vasoconst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rictor in consultation with the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physician. Conscious sedation wit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h nitrous oxide may be given if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cardiac function is good and with the approval of the physician.</w:t>
      </w:r>
    </w:p>
    <w:p w:rsidR="000901E4" w:rsidRPr="000901E4" w:rsidRDefault="000901E4" w:rsidP="008E2B1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01E4">
        <w:rPr>
          <w:rFonts w:ascii="Times New Roman" w:hAnsi="Times New Roman" w:cs="Times New Roman"/>
          <w:color w:val="000000"/>
          <w:sz w:val="28"/>
          <w:szCs w:val="28"/>
        </w:rPr>
        <w:t>􀂾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 xml:space="preserve"> Indications for prophylactic antibio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tics are only for the high risk </w:t>
      </w:r>
      <w:r w:rsidRPr="000901E4">
        <w:rPr>
          <w:rFonts w:asciiTheme="majorBidi" w:hAnsiTheme="majorBidi" w:cstheme="majorBidi"/>
          <w:color w:val="000000"/>
          <w:sz w:val="28"/>
          <w:szCs w:val="28"/>
        </w:rPr>
        <w:t>patients mentioned in the dental management of IE.</w:t>
      </w:r>
    </w:p>
    <w:p w:rsidR="008F4E27" w:rsidRPr="000901E4" w:rsidRDefault="008F4E27" w:rsidP="008E2B1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8F4E27" w:rsidRPr="000901E4" w:rsidSect="00104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792"/>
    <w:multiLevelType w:val="hybridMultilevel"/>
    <w:tmpl w:val="C722D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211FB"/>
    <w:multiLevelType w:val="hybridMultilevel"/>
    <w:tmpl w:val="ECCC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0531"/>
    <w:multiLevelType w:val="hybridMultilevel"/>
    <w:tmpl w:val="DB3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39D2"/>
    <w:multiLevelType w:val="hybridMultilevel"/>
    <w:tmpl w:val="94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27"/>
    <w:rsid w:val="000901E4"/>
    <w:rsid w:val="001047DB"/>
    <w:rsid w:val="001A453D"/>
    <w:rsid w:val="00537EF9"/>
    <w:rsid w:val="005A23AA"/>
    <w:rsid w:val="006D0DB5"/>
    <w:rsid w:val="00723860"/>
    <w:rsid w:val="008E2B17"/>
    <w:rsid w:val="008F4E27"/>
    <w:rsid w:val="00B17488"/>
    <w:rsid w:val="00B95946"/>
    <w:rsid w:val="00EB49FB"/>
    <w:rsid w:val="00F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</dc:creator>
  <cp:lastModifiedBy>Dr. Mohammed</cp:lastModifiedBy>
  <cp:revision>6</cp:revision>
  <dcterms:created xsi:type="dcterms:W3CDTF">2021-10-07T19:44:00Z</dcterms:created>
  <dcterms:modified xsi:type="dcterms:W3CDTF">2021-11-10T18:50:00Z</dcterms:modified>
</cp:coreProperties>
</file>